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台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自动络筒机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设备转让合同</w:t>
      </w:r>
    </w:p>
    <w:p>
      <w:pPr>
        <w:spacing w:before="312" w:beforeLines="100" w:line="440" w:lineRule="exact"/>
        <w:jc w:val="left"/>
        <w:rPr>
          <w:rFonts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转让方：江苏</w:t>
      </w: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大生集团</w:t>
      </w: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</w:p>
    <w:p>
      <w:pPr>
        <w:spacing w:line="440" w:lineRule="exact"/>
        <w:jc w:val="left"/>
        <w:rPr>
          <w:rFonts w:hint="default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地址：南通市崇川区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南市街14号</w:t>
      </w:r>
    </w:p>
    <w:p>
      <w:pPr>
        <w:spacing w:line="440" w:lineRule="exact"/>
        <w:jc w:val="left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丁雨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电话：0513-85406089</w:t>
      </w:r>
    </w:p>
    <w:p>
      <w:pPr>
        <w:spacing w:before="156" w:beforeLines="50" w:line="440" w:lineRule="exact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受让人：</w:t>
      </w:r>
    </w:p>
    <w:p>
      <w:pPr>
        <w:spacing w:line="440" w:lineRule="exact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地址：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>
      <w:pPr>
        <w:spacing w:line="44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联系人：                 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电话：</w:t>
      </w:r>
      <w:bookmarkStart w:id="0" w:name="_GoBack"/>
      <w:bookmarkEnd w:id="0"/>
    </w:p>
    <w:p>
      <w:pPr>
        <w:spacing w:before="156" w:beforeLines="50"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转让方</w:t>
      </w:r>
      <w:r>
        <w:rPr>
          <w:rFonts w:hint="eastAsia" w:ascii="仿宋_GB2312" w:hAnsi="宋体" w:eastAsia="仿宋_GB2312"/>
          <w:b/>
          <w:sz w:val="28"/>
          <w:szCs w:val="28"/>
        </w:rPr>
        <w:t>江苏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大生集团</w:t>
      </w:r>
      <w:r>
        <w:rPr>
          <w:rFonts w:hint="eastAsia" w:ascii="仿宋_GB2312" w:hAnsi="宋体" w:eastAsia="仿宋_GB2312"/>
          <w:b/>
          <w:sz w:val="28"/>
          <w:szCs w:val="28"/>
        </w:rPr>
        <w:t>有限公司</w:t>
      </w:r>
      <w:r>
        <w:rPr>
          <w:rFonts w:hint="eastAsia" w:ascii="仿宋" w:hAnsi="仿宋" w:eastAsia="仿宋"/>
          <w:sz w:val="28"/>
          <w:szCs w:val="28"/>
        </w:rPr>
        <w:t>（以下简称“转让方”或“甲方”）与受让人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(以下简称“受让人”或“乙方”)现就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自动络筒机</w:t>
      </w:r>
      <w:r>
        <w:rPr>
          <w:rFonts w:hint="eastAsia" w:ascii="仿宋" w:hAnsi="仿宋" w:eastAsia="仿宋"/>
          <w:sz w:val="28"/>
          <w:szCs w:val="28"/>
        </w:rPr>
        <w:t>的转让交易事宜协商一致意见如下：</w:t>
      </w:r>
    </w:p>
    <w:p>
      <w:pPr>
        <w:spacing w:before="156" w:beforeLines="50" w:line="440" w:lineRule="exact"/>
        <w:ind w:firstLine="562" w:firstLineChars="200"/>
        <w:jc w:val="lef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一、合同设备概况</w:t>
      </w:r>
    </w:p>
    <w:tbl>
      <w:tblPr>
        <w:tblStyle w:val="5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410"/>
        <w:gridCol w:w="1843"/>
        <w:gridCol w:w="708"/>
        <w:gridCol w:w="120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数量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购置年月</w:t>
            </w:r>
          </w:p>
        </w:tc>
        <w:tc>
          <w:tcPr>
            <w:tcW w:w="1628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自动络筒机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意大利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ORION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2002.11.30</w:t>
            </w:r>
          </w:p>
        </w:tc>
        <w:tc>
          <w:tcPr>
            <w:tcW w:w="1628" w:type="dxa"/>
            <w:vMerge w:val="restart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具体详见挂牌公告设备清单（以现场确认为准）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 w:val="continue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before="312" w:beforeLines="100" w:line="44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二、交易价格</w:t>
      </w:r>
    </w:p>
    <w:p>
      <w:pPr>
        <w:spacing w:line="440" w:lineRule="exact"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人民币（大写）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元）</w:t>
      </w:r>
    </w:p>
    <w:p>
      <w:pPr>
        <w:spacing w:before="312" w:beforeLines="100" w:line="440" w:lineRule="exact"/>
        <w:ind w:firstLine="413" w:firstLineChars="147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三、付款方式</w:t>
      </w:r>
    </w:p>
    <w:p>
      <w:pPr>
        <w:spacing w:line="440" w:lineRule="exact"/>
        <w:ind w:left="400" w:leftChars="200"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乙方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在收到成交</w:t>
      </w:r>
      <w:r>
        <w:rPr>
          <w:rFonts w:hint="eastAsia" w:ascii="仿宋" w:hAnsi="仿宋" w:eastAsia="仿宋"/>
          <w:sz w:val="28"/>
          <w:szCs w:val="28"/>
          <w:u w:val="none"/>
        </w:rPr>
        <w:t>通知后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3个工作</w:t>
      </w:r>
      <w:r>
        <w:rPr>
          <w:rFonts w:hint="eastAsia" w:ascii="仿宋" w:hAnsi="仿宋" w:eastAsia="仿宋"/>
          <w:sz w:val="28"/>
          <w:szCs w:val="28"/>
          <w:u w:val="none"/>
        </w:rPr>
        <w:t>日内签订设备转让合同， 并于合同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生效起</w:t>
      </w:r>
      <w:r>
        <w:rPr>
          <w:rFonts w:hint="eastAsia" w:ascii="仿宋" w:hAnsi="仿宋" w:eastAsia="仿宋"/>
          <w:sz w:val="28"/>
          <w:szCs w:val="28"/>
          <w:u w:val="none"/>
        </w:rPr>
        <w:t>5个工作日内将剩余价款人民</w:t>
      </w:r>
      <w:r>
        <w:rPr>
          <w:rFonts w:hint="eastAsia" w:ascii="仿宋" w:hAnsi="仿宋" w:eastAsia="仿宋"/>
          <w:sz w:val="28"/>
          <w:szCs w:val="28"/>
        </w:rPr>
        <w:t>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元整（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元）（注：剩余价款是指全额交易价款与乙方已向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江苏大生集团有限公司</w:t>
      </w:r>
      <w:r>
        <w:rPr>
          <w:rFonts w:hint="eastAsia" w:ascii="仿宋" w:hAnsi="仿宋" w:eastAsia="仿宋"/>
          <w:sz w:val="28"/>
          <w:szCs w:val="28"/>
        </w:rPr>
        <w:t>提交的交易保证金的差额部分）一次性电汇至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江苏大生集团有限公司</w:t>
      </w:r>
      <w:r>
        <w:rPr>
          <w:rFonts w:hint="eastAsia" w:ascii="仿宋" w:hAnsi="仿宋" w:eastAsia="仿宋"/>
          <w:sz w:val="28"/>
          <w:szCs w:val="28"/>
        </w:rPr>
        <w:t>指定的账户（账户与保证金账户相同），待甲方收到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/>
          <w:sz w:val="28"/>
          <w:szCs w:val="28"/>
        </w:rPr>
        <w:t>转来的全额合同价款后，甲方开具增值税发票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before="312" w:beforeLines="100" w:line="44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五、合同设备的装车离厂、及产权转移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1、乙方在完成合同设备装车离甲方厂区过程中所用起重设备、运输车辆、人员等由乙方自行负责；上述过程中所发生的各类费用及安全责任均由乙方承担。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2、乙方应及时做好合同设备装车离厂的各项准备工作，并将工期安排及时告知甲方，以便甲方在合同设备离港过程中做好协调工作和提供必要的便利。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3、接到甲方关于标的物具备离厂条件的通知后，乙方应在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天内完成合同设备的装车离厂工作。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5、本合同为旧设备转让交易合同，乙方已充分了解并认可合同设备设施的现状，甲方对合同设备质量、安全等一切因素不承担任何保证责任。</w:t>
      </w:r>
    </w:p>
    <w:p>
      <w:pPr>
        <w:spacing w:before="312" w:beforeLines="100" w:line="44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六、安全责任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1、乙方在合同设备勘查、交接、看管、装车离厂过程中，应严格遵守甲方有关厂区安全管理规定，并承担安全责任。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2、乙方进行合同设备交接、看管、装车离厂过程中如发生安全事故及人身伤害等，其安全责任及费用均由乙方承担（包含给甲方或第三方造成的损失）。</w:t>
      </w:r>
    </w:p>
    <w:p>
      <w:pPr>
        <w:spacing w:before="312" w:beforeLines="100" w:line="44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七、违约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1、乙方应于</w:t>
      </w:r>
      <w:r>
        <w:rPr>
          <w:rFonts w:hint="eastAsia" w:ascii="仿宋" w:hAnsi="仿宋" w:eastAsia="仿宋"/>
          <w:sz w:val="28"/>
          <w:szCs w:val="28"/>
          <w:lang w:eastAsia="zh-CN"/>
        </w:rPr>
        <w:t>收到成交</w:t>
      </w:r>
      <w:r>
        <w:rPr>
          <w:rFonts w:hint="eastAsia" w:ascii="仿宋" w:hAnsi="仿宋" w:eastAsia="仿宋"/>
          <w:sz w:val="28"/>
          <w:szCs w:val="28"/>
        </w:rPr>
        <w:t>通知后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3个工作</w:t>
      </w:r>
      <w:r>
        <w:rPr>
          <w:rFonts w:hint="eastAsia" w:ascii="仿宋" w:hAnsi="仿宋" w:eastAsia="仿宋"/>
          <w:sz w:val="28"/>
          <w:szCs w:val="28"/>
        </w:rPr>
        <w:t>日内签订设备转让合同，并在合同生效后五（5）个工作日内支付全部合同价款，否则其在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江苏大生集团有限公司</w:t>
      </w:r>
      <w:r>
        <w:rPr>
          <w:rFonts w:hint="eastAsia" w:ascii="仿宋" w:hAnsi="仿宋" w:eastAsia="仿宋"/>
          <w:sz w:val="28"/>
          <w:szCs w:val="28"/>
        </w:rPr>
        <w:t>提交的竞价保证金将予以没收；同时终止本合同，并没收乙方已支付的合同价款（如已支付部分款项），乙方不得因此而向甲方提出任何索赔。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2、乙方在合同约定期限内支付了全部合同款项，并接到甲方关于标的物具备离厂条件的通知后，未能在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）天内完成合同设备装车离厂等工作，从第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）天起，乙方将每天按照</w:t>
      </w:r>
      <w:r>
        <w:rPr>
          <w:rFonts w:hint="eastAsia" w:ascii="仿宋" w:hAnsi="仿宋" w:eastAsia="仿宋"/>
          <w:b/>
          <w:sz w:val="28"/>
          <w:szCs w:val="28"/>
        </w:rPr>
        <w:t>合同价价款1%</w:t>
      </w:r>
      <w:r>
        <w:rPr>
          <w:rFonts w:hint="eastAsia" w:ascii="仿宋" w:hAnsi="仿宋" w:eastAsia="仿宋"/>
          <w:sz w:val="28"/>
          <w:szCs w:val="28"/>
        </w:rPr>
        <w:t>的标准承担相应的约定损失赔偿金给甲方；如乙方在支付了全部款项后，未能在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）天内完成合同设备的装车、离厂等全部工作，从第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）天起，合同设备归甲方所有，并由甲方执行处置，所收货款不于退还。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3、甲方承诺合同设备设施无债权债务及任何财产抵押。</w:t>
      </w:r>
    </w:p>
    <w:p>
      <w:pPr>
        <w:spacing w:before="312" w:beforeLines="100" w:line="44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八、技术性能及免责声明</w:t>
      </w:r>
    </w:p>
    <w:p>
      <w:pPr>
        <w:spacing w:before="156" w:beforeLines="50"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乙方通过实地勘查，已充分了解合同设备设施的现状，并理解本合同中有关设备转让（含设备装车离开甲方设备原所在地前的所有工作），甲方不负责转让设备售后的质量及使用等责任、不承担转让设备的任何技术或性能方面的责任。</w:t>
      </w:r>
    </w:p>
    <w:p>
      <w:pPr>
        <w:spacing w:before="156" w:beforeLines="50" w:line="440" w:lineRule="exact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九、</w:t>
      </w:r>
      <w:r>
        <w:rPr>
          <w:rFonts w:hint="eastAsia" w:ascii="仿宋" w:hAnsi="仿宋" w:eastAsia="仿宋"/>
          <w:sz w:val="28"/>
          <w:szCs w:val="28"/>
        </w:rPr>
        <w:t>若双方发生纠纷，无法协商解决时，可向南通仲裁委员会提出仲裁申请。仲裁机关依据中国的有关法律、法规以及该会仲裁规则作出裁决。</w:t>
      </w:r>
    </w:p>
    <w:p>
      <w:pPr>
        <w:spacing w:before="312" w:beforeLines="100" w:line="44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十、其他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、本协议自甲乙双方授权代表签字、公司盖章之日起生效。本协议壹式肆份，甲方乙方各执贰份。</w:t>
      </w:r>
    </w:p>
    <w:p>
      <w:pPr>
        <w:spacing w:line="400" w:lineRule="exact"/>
        <w:jc w:val="left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甲   方（盖章）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_GB2312" w:hAnsi="宋体" w:eastAsia="仿宋_GB2312"/>
          <w:b/>
          <w:sz w:val="28"/>
          <w:szCs w:val="28"/>
        </w:rPr>
        <w:t>江苏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大生集团</w:t>
      </w:r>
      <w:r>
        <w:rPr>
          <w:rFonts w:hint="eastAsia" w:ascii="仿宋_GB2312" w:hAnsi="宋体" w:eastAsia="仿宋_GB2312"/>
          <w:b/>
          <w:sz w:val="28"/>
          <w:szCs w:val="28"/>
        </w:rPr>
        <w:t>限公司</w:t>
      </w:r>
    </w:p>
    <w:p>
      <w:pPr>
        <w:spacing w:line="40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代表签名：                   日期：2021年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widowControl/>
        <w:spacing w:line="400" w:lineRule="exact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乙   方（盖章）</w:t>
      </w:r>
      <w:r>
        <w:rPr>
          <w:rFonts w:hint="eastAsia" w:ascii="仿宋" w:hAnsi="仿宋" w:eastAsia="仿宋"/>
          <w:sz w:val="28"/>
          <w:szCs w:val="28"/>
        </w:rPr>
        <w:t xml:space="preserve">： </w:t>
      </w: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hint="eastAsia" w:ascii="仿宋" w:hAnsi="仿宋" w:eastAsia="仿宋"/>
          <w:sz w:val="28"/>
          <w:szCs w:val="28"/>
        </w:rPr>
        <w:t>代表签名：                   日期：2021年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/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28"/>
    <w:rsid w:val="00166F6E"/>
    <w:rsid w:val="00172A40"/>
    <w:rsid w:val="0018527B"/>
    <w:rsid w:val="001A1DD7"/>
    <w:rsid w:val="001D0DB6"/>
    <w:rsid w:val="00247CCB"/>
    <w:rsid w:val="00256C90"/>
    <w:rsid w:val="002C13B5"/>
    <w:rsid w:val="002D3C3E"/>
    <w:rsid w:val="002E44CF"/>
    <w:rsid w:val="003700C6"/>
    <w:rsid w:val="003827FA"/>
    <w:rsid w:val="0040045E"/>
    <w:rsid w:val="004D00CB"/>
    <w:rsid w:val="00526263"/>
    <w:rsid w:val="00526928"/>
    <w:rsid w:val="0056271B"/>
    <w:rsid w:val="00584971"/>
    <w:rsid w:val="0059384A"/>
    <w:rsid w:val="005B31D2"/>
    <w:rsid w:val="006B3C18"/>
    <w:rsid w:val="006C5660"/>
    <w:rsid w:val="007F63ED"/>
    <w:rsid w:val="008430CB"/>
    <w:rsid w:val="00893099"/>
    <w:rsid w:val="0092698F"/>
    <w:rsid w:val="009B25C5"/>
    <w:rsid w:val="00A271E1"/>
    <w:rsid w:val="00AC458C"/>
    <w:rsid w:val="00B55A77"/>
    <w:rsid w:val="00BD3AEA"/>
    <w:rsid w:val="00C03F57"/>
    <w:rsid w:val="00C31391"/>
    <w:rsid w:val="00C77011"/>
    <w:rsid w:val="00C86B7A"/>
    <w:rsid w:val="00CA6050"/>
    <w:rsid w:val="00D313E8"/>
    <w:rsid w:val="00D5158B"/>
    <w:rsid w:val="00D57BC4"/>
    <w:rsid w:val="00D66474"/>
    <w:rsid w:val="00DB4F56"/>
    <w:rsid w:val="00E05E8A"/>
    <w:rsid w:val="00EB15EB"/>
    <w:rsid w:val="00ED6847"/>
    <w:rsid w:val="00F607D7"/>
    <w:rsid w:val="00F73D93"/>
    <w:rsid w:val="00FB4F28"/>
    <w:rsid w:val="054D3D17"/>
    <w:rsid w:val="11C13A95"/>
    <w:rsid w:val="12AA7B0F"/>
    <w:rsid w:val="14D75A6C"/>
    <w:rsid w:val="1FD915A6"/>
    <w:rsid w:val="32820441"/>
    <w:rsid w:val="3FAF57E1"/>
    <w:rsid w:val="49D73518"/>
    <w:rsid w:val="4C392E09"/>
    <w:rsid w:val="4FB34DEE"/>
    <w:rsid w:val="51E01B20"/>
    <w:rsid w:val="65F75025"/>
    <w:rsid w:val="6DE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270</Words>
  <Characters>1540</Characters>
  <Lines>12</Lines>
  <Paragraphs>3</Paragraphs>
  <TotalTime>6</TotalTime>
  <ScaleCrop>false</ScaleCrop>
  <LinksUpToDate>false</LinksUpToDate>
  <CharactersWithSpaces>1807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2020-05-27T07:28:00Z</dcterms:created>
  <dc:creator>wxddany</dc:creator>
  <cp:lastModifiedBy>Dingy</cp:lastModifiedBy>
  <cp:lastPrinted>2021-03-31T01:41:00Z</cp:lastPrinted>
  <dcterms:modified xsi:type="dcterms:W3CDTF">2021-04-25T01:39:53Z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755479D225F246668F646E76CB5EF5DC</vt:lpwstr>
  </property>
</Properties>
</file>