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rPr>
          <w:rFonts w:cs="宋体"/>
          <w:b/>
          <w:bCs/>
          <w:color w:val="000000" w:themeColor="text1"/>
          <w:sz w:val="44"/>
          <w:szCs w:val="44"/>
        </w:rPr>
      </w:pPr>
    </w:p>
    <w:p>
      <w:pPr>
        <w:pStyle w:val="2"/>
        <w:ind w:firstLine="480"/>
      </w:pPr>
    </w:p>
    <w:p>
      <w:pPr>
        <w:tabs>
          <w:tab w:val="left" w:pos="6300"/>
        </w:tabs>
        <w:snapToGrid w:val="0"/>
        <w:spacing w:line="300" w:lineRule="auto"/>
        <w:jc w:val="center"/>
        <w:rPr>
          <w:rFonts w:ascii="宋体"/>
          <w:b/>
          <w:bCs/>
          <w:color w:val="000000" w:themeColor="text1"/>
          <w:w w:val="80"/>
          <w:sz w:val="52"/>
          <w:szCs w:val="52"/>
        </w:rPr>
      </w:pPr>
      <w:r>
        <w:rPr>
          <w:rFonts w:hint="eastAsia" w:ascii="宋体" w:hAnsi="宋体"/>
          <w:b/>
          <w:color w:val="000000" w:themeColor="text1"/>
          <w:w w:val="80"/>
          <w:sz w:val="52"/>
          <w:szCs w:val="52"/>
        </w:rPr>
        <w:t>江苏大生集团信息化系统改造项目</w:t>
      </w:r>
    </w:p>
    <w:p>
      <w:pPr>
        <w:pStyle w:val="2"/>
        <w:ind w:firstLine="480"/>
        <w:rPr>
          <w:color w:val="000000" w:themeColor="text1"/>
        </w:rPr>
      </w:pPr>
    </w:p>
    <w:p>
      <w:pPr>
        <w:tabs>
          <w:tab w:val="left" w:pos="6300"/>
        </w:tabs>
        <w:snapToGrid w:val="0"/>
        <w:spacing w:line="300" w:lineRule="auto"/>
        <w:jc w:val="center"/>
        <w:rPr>
          <w:rFonts w:ascii="宋体"/>
          <w:b/>
          <w:bCs/>
          <w:color w:val="000000" w:themeColor="text1"/>
          <w:w w:val="80"/>
          <w:sz w:val="48"/>
          <w:szCs w:val="48"/>
        </w:rPr>
      </w:pPr>
    </w:p>
    <w:p>
      <w:pPr>
        <w:pStyle w:val="2"/>
        <w:ind w:firstLine="480"/>
        <w:rPr>
          <w:color w:val="000000" w:themeColor="text1"/>
        </w:rPr>
      </w:pPr>
    </w:p>
    <w:p>
      <w:pPr>
        <w:pStyle w:val="2"/>
        <w:ind w:firstLine="480"/>
        <w:rPr>
          <w:color w:val="000000" w:themeColor="text1"/>
        </w:rPr>
      </w:pPr>
    </w:p>
    <w:p>
      <w:pPr>
        <w:pStyle w:val="2"/>
        <w:ind w:firstLine="480"/>
        <w:rPr>
          <w:color w:val="000000" w:themeColor="text1"/>
        </w:rPr>
      </w:pPr>
    </w:p>
    <w:p>
      <w:pPr>
        <w:tabs>
          <w:tab w:val="left" w:pos="6300"/>
        </w:tabs>
        <w:snapToGrid w:val="0"/>
        <w:spacing w:line="300" w:lineRule="auto"/>
        <w:jc w:val="center"/>
        <w:rPr>
          <w:rFonts w:ascii="宋体"/>
          <w:b/>
          <w:bCs/>
          <w:color w:val="000000" w:themeColor="text1"/>
          <w:w w:val="80"/>
          <w:sz w:val="96"/>
          <w:szCs w:val="96"/>
        </w:rPr>
      </w:pPr>
      <w:r>
        <w:rPr>
          <w:rFonts w:hint="eastAsia" w:ascii="宋体" w:hAnsi="宋体" w:cs="宋体"/>
          <w:b/>
          <w:bCs/>
          <w:color w:val="000000" w:themeColor="text1"/>
          <w:w w:val="80"/>
          <w:sz w:val="96"/>
          <w:szCs w:val="96"/>
        </w:rPr>
        <w:t>竞争性磋商文件</w:t>
      </w:r>
    </w:p>
    <w:p>
      <w:pPr>
        <w:jc w:val="center"/>
        <w:rPr>
          <w:rFonts w:ascii="宋体"/>
          <w:b/>
          <w:bCs/>
          <w:color w:val="000000" w:themeColor="text1"/>
          <w:sz w:val="44"/>
          <w:szCs w:val="44"/>
        </w:rPr>
      </w:pPr>
      <w:r>
        <w:rPr>
          <w:rFonts w:hint="eastAsia" w:ascii="宋体"/>
          <w:b/>
          <w:bCs/>
          <w:color w:val="000000" w:themeColor="text1"/>
          <w:sz w:val="44"/>
          <w:szCs w:val="44"/>
        </w:rPr>
        <w:t>JSKJ2023048（JC15）</w:t>
      </w:r>
    </w:p>
    <w:p>
      <w:pPr>
        <w:spacing w:line="360" w:lineRule="auto"/>
        <w:jc w:val="center"/>
        <w:rPr>
          <w:rFonts w:ascii="宋体"/>
          <w:b/>
          <w:bCs/>
          <w:color w:val="000000" w:themeColor="text1"/>
          <w:sz w:val="44"/>
          <w:szCs w:val="44"/>
        </w:rPr>
      </w:pPr>
    </w:p>
    <w:p>
      <w:pPr>
        <w:snapToGrid w:val="0"/>
        <w:spacing w:line="360" w:lineRule="auto"/>
        <w:rPr>
          <w:rFonts w:ascii="宋体"/>
          <w:b/>
          <w:bCs/>
          <w:color w:val="000000" w:themeColor="text1"/>
          <w:sz w:val="36"/>
          <w:szCs w:val="36"/>
        </w:rPr>
      </w:pPr>
    </w:p>
    <w:p>
      <w:pPr>
        <w:snapToGrid w:val="0"/>
        <w:spacing w:line="360" w:lineRule="auto"/>
        <w:jc w:val="center"/>
        <w:rPr>
          <w:rFonts w:ascii="宋体"/>
          <w:b/>
          <w:bCs/>
          <w:color w:val="000000" w:themeColor="text1"/>
          <w:sz w:val="36"/>
          <w:szCs w:val="36"/>
        </w:rPr>
      </w:pPr>
    </w:p>
    <w:p>
      <w:pPr>
        <w:pStyle w:val="2"/>
        <w:ind w:firstLine="480"/>
      </w:pPr>
    </w:p>
    <w:p>
      <w:pPr>
        <w:pStyle w:val="2"/>
        <w:ind w:firstLine="480"/>
      </w:pPr>
    </w:p>
    <w:p>
      <w:pPr>
        <w:pStyle w:val="2"/>
        <w:ind w:firstLine="480"/>
      </w:pPr>
    </w:p>
    <w:p>
      <w:pPr>
        <w:snapToGrid w:val="0"/>
        <w:spacing w:line="360" w:lineRule="auto"/>
        <w:rPr>
          <w:rFonts w:ascii="宋体"/>
          <w:b/>
          <w:bCs/>
          <w:color w:val="000000" w:themeColor="text1"/>
          <w:sz w:val="36"/>
          <w:szCs w:val="36"/>
        </w:rPr>
      </w:pPr>
    </w:p>
    <w:p>
      <w:pPr>
        <w:snapToGrid w:val="0"/>
        <w:spacing w:line="360" w:lineRule="auto"/>
        <w:rPr>
          <w:rFonts w:ascii="宋体"/>
          <w:b/>
          <w:bCs/>
          <w:color w:val="000000" w:themeColor="text1"/>
          <w:sz w:val="36"/>
          <w:szCs w:val="36"/>
        </w:rPr>
      </w:pPr>
    </w:p>
    <w:p>
      <w:pPr>
        <w:ind w:left="840" w:leftChars="400"/>
        <w:rPr>
          <w:rFonts w:ascii="宋体" w:hAnsi="宋体" w:cs="宋体"/>
          <w:b/>
          <w:snapToGrid w:val="0"/>
          <w:color w:val="000000" w:themeColor="text1"/>
          <w:kern w:val="0"/>
          <w:sz w:val="30"/>
          <w:szCs w:val="30"/>
        </w:rPr>
      </w:pPr>
      <w:bookmarkStart w:id="0" w:name="_Toc11499583"/>
      <w:bookmarkStart w:id="1" w:name="_Toc521203417"/>
      <w:bookmarkStart w:id="2" w:name="_Toc12670502"/>
      <w:bookmarkStart w:id="3" w:name="_Toc94544743"/>
      <w:bookmarkStart w:id="4" w:name="_Toc94585339"/>
      <w:bookmarkStart w:id="5" w:name="_Toc11500279"/>
      <w:bookmarkStart w:id="6" w:name="_Toc11554638"/>
      <w:bookmarkStart w:id="7" w:name="_Toc8895738"/>
      <w:bookmarkStart w:id="8" w:name="_Toc521201596"/>
      <w:bookmarkStart w:id="9" w:name="_Toc94544827"/>
      <w:r>
        <w:rPr>
          <w:rFonts w:hint="eastAsia" w:ascii="宋体" w:hAnsi="宋体" w:cs="宋体"/>
          <w:b/>
          <w:snapToGrid w:val="0"/>
          <w:color w:val="000000" w:themeColor="text1"/>
          <w:kern w:val="0"/>
          <w:sz w:val="30"/>
          <w:szCs w:val="30"/>
        </w:rPr>
        <w:t>采购单位：</w:t>
      </w:r>
      <w:r>
        <w:rPr>
          <w:rFonts w:hint="eastAsia" w:ascii="宋体" w:hAnsi="宋体" w:cs="宋体"/>
          <w:b/>
          <w:color w:val="000000" w:themeColor="text1"/>
          <w:sz w:val="30"/>
          <w:szCs w:val="30"/>
        </w:rPr>
        <w:t>江苏大生集团有限公司</w:t>
      </w:r>
    </w:p>
    <w:p>
      <w:pPr>
        <w:ind w:left="840" w:leftChars="400"/>
        <w:rPr>
          <w:rFonts w:ascii="宋体" w:hAnsi="宋体" w:cs="宋体"/>
          <w:b/>
          <w:snapToGrid w:val="0"/>
          <w:color w:val="000000" w:themeColor="text1"/>
          <w:kern w:val="0"/>
          <w:sz w:val="30"/>
          <w:szCs w:val="30"/>
        </w:rPr>
      </w:pPr>
      <w:r>
        <w:rPr>
          <w:rFonts w:hint="eastAsia" w:ascii="宋体" w:hAnsi="宋体" w:cs="宋体"/>
          <w:b/>
          <w:snapToGrid w:val="0"/>
          <w:color w:val="000000" w:themeColor="text1"/>
          <w:kern w:val="0"/>
          <w:sz w:val="30"/>
          <w:szCs w:val="30"/>
        </w:rPr>
        <w:t>代理机构：江苏科建工程项目管理有限公司</w:t>
      </w:r>
    </w:p>
    <w:p>
      <w:pPr>
        <w:ind w:left="840" w:leftChars="400" w:firstLine="2397" w:firstLineChars="796"/>
        <w:rPr>
          <w:rFonts w:ascii="宋体" w:hAnsi="宋体" w:cs="宋体"/>
          <w:b/>
          <w:snapToGrid w:val="0"/>
          <w:color w:val="000000" w:themeColor="text1"/>
          <w:kern w:val="0"/>
          <w:sz w:val="30"/>
          <w:szCs w:val="30"/>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851" w:right="851" w:bottom="851" w:left="851" w:header="851" w:footer="454" w:gutter="0"/>
          <w:pgNumType w:start="1"/>
          <w:cols w:space="720" w:num="1"/>
          <w:titlePg/>
          <w:docGrid w:type="lines" w:linePitch="312" w:charSpace="0"/>
        </w:sectPr>
      </w:pPr>
      <w:r>
        <w:rPr>
          <w:rFonts w:hint="eastAsia" w:ascii="宋体" w:hAnsi="宋体" w:cs="宋体"/>
          <w:b/>
          <w:snapToGrid w:val="0"/>
          <w:color w:val="000000" w:themeColor="text1"/>
          <w:kern w:val="0"/>
          <w:sz w:val="30"/>
          <w:szCs w:val="30"/>
        </w:rPr>
        <w:t xml:space="preserve">  二〇二三年三月</w:t>
      </w:r>
    </w:p>
    <w:p>
      <w:pPr>
        <w:adjustRightInd w:val="0"/>
        <w:snapToGrid w:val="0"/>
        <w:spacing w:line="360" w:lineRule="auto"/>
        <w:rPr>
          <w:rFonts w:ascii="宋体"/>
          <w:color w:val="000000" w:themeColor="text1"/>
          <w:w w:val="80"/>
          <w:sz w:val="32"/>
          <w:szCs w:val="32"/>
        </w:rPr>
      </w:pPr>
    </w:p>
    <w:p>
      <w:pPr>
        <w:pStyle w:val="26"/>
        <w:tabs>
          <w:tab w:val="left" w:pos="1050"/>
          <w:tab w:val="right" w:leader="dot" w:pos="9402"/>
        </w:tabs>
        <w:spacing w:line="960" w:lineRule="exact"/>
        <w:ind w:left="0" w:firstLine="3971" w:firstLineChars="950"/>
        <w:outlineLvl w:val="0"/>
        <w:rPr>
          <w:rFonts w:ascii="宋体"/>
          <w:b/>
          <w:bCs/>
          <w:i w:val="0"/>
          <w:iCs w:val="0"/>
          <w:color w:val="000000" w:themeColor="text1"/>
          <w:w w:val="80"/>
          <w:sz w:val="52"/>
          <w:szCs w:val="52"/>
        </w:rPr>
      </w:pPr>
      <w:r>
        <w:rPr>
          <w:rFonts w:hint="eastAsia" w:ascii="宋体" w:hAnsi="宋体" w:cs="宋体"/>
          <w:b/>
          <w:bCs/>
          <w:i w:val="0"/>
          <w:iCs w:val="0"/>
          <w:color w:val="000000" w:themeColor="text1"/>
          <w:w w:val="80"/>
          <w:sz w:val="52"/>
          <w:szCs w:val="52"/>
        </w:rPr>
        <w:t>目  录</w:t>
      </w:r>
    </w:p>
    <w:p>
      <w:pPr>
        <w:spacing w:line="800" w:lineRule="exact"/>
        <w:jc w:val="center"/>
        <w:rPr>
          <w:rFonts w:ascii="宋体"/>
          <w:b/>
          <w:bCs/>
          <w:color w:val="000000" w:themeColor="text1"/>
          <w:sz w:val="52"/>
          <w:szCs w:val="52"/>
        </w:rPr>
      </w:pPr>
    </w:p>
    <w:p>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第一章  竞争性磋商公告</w:t>
      </w:r>
    </w:p>
    <w:p>
      <w:pPr>
        <w:rPr>
          <w:rFonts w:ascii="宋体"/>
          <w:color w:val="000000" w:themeColor="text1"/>
          <w:sz w:val="36"/>
          <w:szCs w:val="36"/>
        </w:rPr>
      </w:pPr>
    </w:p>
    <w:p>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第二章  磋商供应商须知</w:t>
      </w:r>
    </w:p>
    <w:p>
      <w:pPr>
        <w:rPr>
          <w:rFonts w:ascii="宋体"/>
          <w:color w:val="000000" w:themeColor="text1"/>
          <w:sz w:val="36"/>
          <w:szCs w:val="36"/>
        </w:rPr>
      </w:pPr>
    </w:p>
    <w:p>
      <w:pPr>
        <w:pStyle w:val="26"/>
        <w:tabs>
          <w:tab w:val="left" w:pos="1050"/>
          <w:tab w:val="right" w:leader="dot" w:pos="9402"/>
        </w:tabs>
        <w:spacing w:line="520" w:lineRule="exact"/>
        <w:ind w:left="1"/>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第三章  项目需求</w:t>
      </w:r>
    </w:p>
    <w:p>
      <w:pPr>
        <w:rPr>
          <w:rFonts w:ascii="宋体"/>
          <w:color w:val="000000" w:themeColor="text1"/>
          <w:sz w:val="36"/>
          <w:szCs w:val="36"/>
        </w:rPr>
      </w:pPr>
    </w:p>
    <w:p>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第四章  评审方法和程序</w:t>
      </w:r>
    </w:p>
    <w:p>
      <w:pPr>
        <w:rPr>
          <w:rFonts w:ascii="宋体"/>
          <w:color w:val="000000" w:themeColor="text1"/>
          <w:sz w:val="36"/>
          <w:szCs w:val="36"/>
        </w:rPr>
      </w:pPr>
    </w:p>
    <w:p>
      <w:pPr>
        <w:pStyle w:val="26"/>
        <w:numPr>
          <w:ilvl w:val="0"/>
          <w:numId w:val="2"/>
        </w:numPr>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 xml:space="preserve"> 合同主要条款</w:t>
      </w:r>
    </w:p>
    <w:p>
      <w:pPr>
        <w:rPr>
          <w:rFonts w:ascii="宋体"/>
          <w:i/>
          <w:iCs/>
          <w:color w:val="000000" w:themeColor="text1"/>
          <w:w w:val="80"/>
          <w:sz w:val="36"/>
          <w:szCs w:val="36"/>
        </w:rPr>
      </w:pPr>
    </w:p>
    <w:p>
      <w:pPr>
        <w:pStyle w:val="26"/>
        <w:numPr>
          <w:ilvl w:val="0"/>
          <w:numId w:val="2"/>
        </w:numPr>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 xml:space="preserve"> 合同授予</w:t>
      </w:r>
    </w:p>
    <w:p>
      <w:pPr>
        <w:rPr>
          <w:rFonts w:ascii="宋体"/>
          <w:color w:val="000000" w:themeColor="text1"/>
          <w:sz w:val="36"/>
          <w:szCs w:val="36"/>
        </w:rPr>
      </w:pPr>
    </w:p>
    <w:p>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第七章  质疑提出和处理</w:t>
      </w:r>
    </w:p>
    <w:p>
      <w:pPr>
        <w:rPr>
          <w:rFonts w:ascii="宋体"/>
          <w:color w:val="000000" w:themeColor="text1"/>
          <w:sz w:val="36"/>
          <w:szCs w:val="36"/>
        </w:rPr>
      </w:pPr>
    </w:p>
    <w:p>
      <w:pPr>
        <w:pStyle w:val="26"/>
        <w:tabs>
          <w:tab w:val="left" w:pos="1050"/>
          <w:tab w:val="right" w:leader="dot" w:pos="9402"/>
        </w:tabs>
        <w:spacing w:line="520" w:lineRule="exact"/>
        <w:ind w:left="0"/>
        <w:rPr>
          <w:rFonts w:ascii="宋体"/>
          <w:i w:val="0"/>
          <w:iCs w:val="0"/>
          <w:color w:val="000000" w:themeColor="text1"/>
          <w:w w:val="80"/>
          <w:sz w:val="36"/>
          <w:szCs w:val="36"/>
        </w:rPr>
      </w:pPr>
      <w:r>
        <w:rPr>
          <w:rFonts w:hint="eastAsia" w:ascii="宋体" w:hAnsi="宋体" w:cs="宋体"/>
          <w:i w:val="0"/>
          <w:iCs w:val="0"/>
          <w:color w:val="000000" w:themeColor="text1"/>
          <w:w w:val="80"/>
          <w:sz w:val="36"/>
          <w:szCs w:val="36"/>
        </w:rPr>
        <w:t>第八章  响应文件组成及格式</w:t>
      </w:r>
    </w:p>
    <w:p>
      <w:pPr>
        <w:rPr>
          <w:rFonts w:ascii="宋体"/>
          <w:color w:val="000000" w:themeColor="text1"/>
          <w:sz w:val="36"/>
          <w:szCs w:val="36"/>
        </w:rPr>
      </w:pPr>
    </w:p>
    <w:p>
      <w:pPr>
        <w:rPr>
          <w:rFonts w:ascii="宋体"/>
          <w:color w:val="000000" w:themeColor="text1"/>
          <w:sz w:val="36"/>
          <w:szCs w:val="36"/>
        </w:rPr>
      </w:pPr>
    </w:p>
    <w:p>
      <w:pPr>
        <w:snapToGrid w:val="0"/>
        <w:spacing w:line="360" w:lineRule="auto"/>
        <w:rPr>
          <w:rFonts w:ascii="宋体"/>
          <w:b/>
          <w:bCs/>
          <w:color w:val="000000" w:themeColor="text1"/>
        </w:rPr>
      </w:pPr>
      <w:r>
        <w:rPr>
          <w:rFonts w:ascii="宋体"/>
          <w:b/>
          <w:bCs/>
          <w:color w:val="000000" w:themeColor="text1"/>
        </w:rPr>
        <w:br w:type="page"/>
      </w:r>
    </w:p>
    <w:p>
      <w:pPr>
        <w:spacing w:line="480" w:lineRule="exact"/>
        <w:ind w:left="3145" w:leftChars="150" w:hanging="2830" w:hangingChars="800"/>
        <w:jc w:val="left"/>
        <w:rPr>
          <w:rFonts w:ascii="宋体" w:hAnsi="宋体" w:cs="宋体"/>
          <w:b/>
          <w:bCs/>
          <w:color w:val="000000" w:themeColor="text1"/>
          <w:sz w:val="24"/>
          <w:szCs w:val="24"/>
        </w:rPr>
      </w:pPr>
      <w:r>
        <w:rPr>
          <w:rFonts w:hint="eastAsia" w:ascii="宋体" w:hAnsi="宋体" w:cs="宋体"/>
          <w:b/>
          <w:bCs/>
          <w:color w:val="000000" w:themeColor="text1"/>
          <w:w w:val="80"/>
          <w:sz w:val="44"/>
          <w:szCs w:val="44"/>
        </w:rPr>
        <w:t xml:space="preserve">           第一章  竞争性磋商公告</w:t>
      </w:r>
    </w:p>
    <w:p>
      <w:pPr>
        <w:snapToGrid w:val="0"/>
        <w:spacing w:line="360" w:lineRule="auto"/>
        <w:rPr>
          <w:rFonts w:ascii="宋体"/>
          <w:b/>
          <w:bCs/>
          <w:color w:val="000000" w:themeColor="text1"/>
          <w:sz w:val="24"/>
          <w:szCs w:val="24"/>
        </w:rPr>
      </w:pPr>
      <w:r>
        <w:rPr>
          <w:rFonts w:hint="eastAsia" w:ascii="宋体" w:hAnsi="宋体" w:cs="宋体"/>
          <w:b/>
          <w:bCs/>
          <w:color w:val="000000" w:themeColor="text1"/>
          <w:sz w:val="24"/>
          <w:szCs w:val="24"/>
        </w:rPr>
        <w:t>尊敬的磋商供应商：</w:t>
      </w:r>
    </w:p>
    <w:p>
      <w:pPr>
        <w:snapToGrid w:val="0"/>
        <w:spacing w:line="360" w:lineRule="auto"/>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欢迎参加本采购项目的竞争性磋商。为了保证本次磋商项目顺利进行，请在制作响应文件之前，仔细阅读本竞争性磋商文件的各项条款，并按要求制作和递交响应文件。谢谢合作！</w:t>
      </w:r>
      <w:bookmarkEnd w:id="0"/>
      <w:bookmarkEnd w:id="1"/>
      <w:bookmarkEnd w:id="2"/>
      <w:bookmarkEnd w:id="3"/>
      <w:bookmarkEnd w:id="4"/>
      <w:bookmarkEnd w:id="5"/>
      <w:bookmarkEnd w:id="6"/>
      <w:bookmarkEnd w:id="7"/>
      <w:bookmarkEnd w:id="8"/>
      <w:bookmarkEnd w:id="9"/>
      <w:bookmarkStart w:id="10" w:name="_Toc521203418"/>
      <w:bookmarkStart w:id="11" w:name="_Toc521201597"/>
      <w:bookmarkStart w:id="12" w:name="_Toc11499584"/>
      <w:bookmarkStart w:id="13" w:name="_Toc11554639"/>
      <w:bookmarkStart w:id="14" w:name="_Toc12670503"/>
      <w:bookmarkStart w:id="15" w:name="_Toc94544744"/>
      <w:bookmarkStart w:id="16" w:name="_Toc94585340"/>
      <w:bookmarkStart w:id="17" w:name="_Toc8895739"/>
      <w:bookmarkStart w:id="18" w:name="_Toc94544828"/>
      <w:bookmarkStart w:id="19" w:name="_Toc11500280"/>
      <w:bookmarkStart w:id="20" w:name="_Toc363573854"/>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u w:val="single"/>
        </w:rPr>
        <w:t>江苏大生集团信息化系统改造项目</w:t>
      </w:r>
      <w:r>
        <w:rPr>
          <w:rFonts w:hint="eastAsia" w:ascii="仿宋" w:hAnsi="仿宋" w:eastAsia="仿宋"/>
          <w:color w:val="000000" w:themeColor="text1"/>
          <w:sz w:val="28"/>
          <w:szCs w:val="28"/>
        </w:rPr>
        <w:t>的潜在供应商应在</w:t>
      </w:r>
      <w:r>
        <w:rPr>
          <w:rFonts w:hint="eastAsia" w:ascii="仿宋" w:hAnsi="仿宋" w:eastAsia="仿宋"/>
          <w:color w:val="000000" w:themeColor="text1"/>
          <w:sz w:val="28"/>
          <w:szCs w:val="28"/>
          <w:u w:val="single"/>
        </w:rPr>
        <w:t>“江苏大生集团有限公司官网”</w:t>
      </w:r>
      <w:r>
        <w:rPr>
          <w:rFonts w:hint="eastAsia" w:ascii="仿宋" w:hAnsi="仿宋" w:eastAsia="仿宋"/>
          <w:color w:val="000000" w:themeColor="text1"/>
          <w:sz w:val="28"/>
          <w:szCs w:val="28"/>
        </w:rPr>
        <w:t>内获取磋商文件，并于</w:t>
      </w:r>
      <w:r>
        <w:rPr>
          <w:rFonts w:hint="eastAsia" w:ascii="仿宋" w:hAnsi="仿宋" w:eastAsia="仿宋"/>
          <w:color w:val="000000" w:themeColor="text1"/>
          <w:sz w:val="28"/>
          <w:szCs w:val="28"/>
          <w:u w:val="single"/>
        </w:rPr>
        <w:t>202</w:t>
      </w:r>
      <w:r>
        <w:rPr>
          <w:rFonts w:ascii="仿宋" w:hAnsi="仿宋" w:eastAsia="仿宋"/>
          <w:color w:val="000000" w:themeColor="text1"/>
          <w:sz w:val="28"/>
          <w:szCs w:val="28"/>
          <w:u w:val="single"/>
        </w:rPr>
        <w:t>3</w:t>
      </w:r>
      <w:r>
        <w:rPr>
          <w:rFonts w:hint="eastAsia" w:ascii="仿宋" w:hAnsi="仿宋" w:eastAsia="仿宋"/>
          <w:bCs/>
          <w:color w:val="000000" w:themeColor="text1"/>
          <w:sz w:val="28"/>
          <w:szCs w:val="28"/>
          <w:u w:val="single"/>
        </w:rPr>
        <w:t>年4月3日9:30（</w:t>
      </w:r>
      <w:r>
        <w:rPr>
          <w:rFonts w:hint="eastAsia" w:ascii="仿宋" w:hAnsi="仿宋" w:eastAsia="仿宋"/>
          <w:bCs/>
          <w:color w:val="000000" w:themeColor="text1"/>
          <w:sz w:val="28"/>
          <w:szCs w:val="28"/>
        </w:rPr>
        <w:t>北京时间）前递交响应文件</w:t>
      </w:r>
      <w:r>
        <w:rPr>
          <w:rFonts w:hint="eastAsia" w:ascii="仿宋" w:hAnsi="仿宋" w:eastAsia="仿宋"/>
          <w:color w:val="000000" w:themeColor="text1"/>
          <w:sz w:val="28"/>
          <w:szCs w:val="28"/>
        </w:rPr>
        <w:t>。</w:t>
      </w:r>
    </w:p>
    <w:p>
      <w:pPr>
        <w:rPr>
          <w:color w:val="000000" w:themeColor="text1"/>
          <w:sz w:val="28"/>
          <w:szCs w:val="28"/>
        </w:rPr>
      </w:pPr>
    </w:p>
    <w:p>
      <w:pPr>
        <w:pStyle w:val="6"/>
        <w:spacing w:line="360" w:lineRule="auto"/>
        <w:rPr>
          <w:rFonts w:ascii="黑体" w:hAnsi="黑体" w:cs="宋体"/>
          <w:b w:val="0"/>
          <w:color w:val="000000" w:themeColor="text1"/>
          <w:sz w:val="28"/>
          <w:szCs w:val="28"/>
        </w:rPr>
      </w:pPr>
      <w:bookmarkStart w:id="21" w:name="_Toc28359002"/>
      <w:bookmarkStart w:id="22" w:name="_Toc35393621"/>
      <w:bookmarkStart w:id="23" w:name="_Toc35393790"/>
      <w:bookmarkStart w:id="24" w:name="_Toc28359079"/>
      <w:bookmarkStart w:id="25" w:name="_Hlk24379207"/>
      <w:r>
        <w:rPr>
          <w:rFonts w:hint="eastAsia" w:ascii="黑体" w:hAnsi="黑体" w:cs="宋体"/>
          <w:b w:val="0"/>
          <w:color w:val="000000" w:themeColor="text1"/>
          <w:sz w:val="28"/>
          <w:szCs w:val="28"/>
        </w:rPr>
        <w:t>一、项目基本情况</w:t>
      </w:r>
      <w:bookmarkEnd w:id="21"/>
      <w:bookmarkEnd w:id="22"/>
      <w:bookmarkEnd w:id="23"/>
      <w:bookmarkEnd w:id="24"/>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项目编号：JSKJ2023048（JC15）</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项目名称：江苏大生集团信息化系统改造项目</w:t>
      </w:r>
    </w:p>
    <w:bookmarkEnd w:id="25"/>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采购方式：竞争性磋商；</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项目类型：服务；</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预算金额：135万元</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最高限价：135万元，最终报价超过预算的为无效磋商</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采购需求：详见竞争性磋商文件第三章</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合同履行期限：详见磋商文件</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本项目不接受联合体磋商。</w:t>
      </w:r>
    </w:p>
    <w:p>
      <w:pPr>
        <w:pStyle w:val="6"/>
        <w:spacing w:line="360" w:lineRule="auto"/>
        <w:rPr>
          <w:rFonts w:ascii="黑体" w:hAnsi="黑体" w:cs="宋体"/>
          <w:b w:val="0"/>
          <w:color w:val="000000" w:themeColor="text1"/>
          <w:sz w:val="28"/>
          <w:szCs w:val="28"/>
        </w:rPr>
      </w:pPr>
      <w:bookmarkStart w:id="26" w:name="_Toc28359080"/>
      <w:bookmarkStart w:id="27" w:name="_Toc28359003"/>
      <w:bookmarkStart w:id="28" w:name="_Toc35393791"/>
      <w:bookmarkStart w:id="29" w:name="_Toc35393622"/>
      <w:r>
        <w:rPr>
          <w:rFonts w:hint="eastAsia" w:ascii="黑体" w:hAnsi="黑体" w:cs="宋体"/>
          <w:b w:val="0"/>
          <w:color w:val="000000" w:themeColor="text1"/>
          <w:sz w:val="28"/>
          <w:szCs w:val="28"/>
        </w:rPr>
        <w:t>二、申请人的资格要求：</w:t>
      </w:r>
      <w:bookmarkEnd w:id="26"/>
      <w:bookmarkEnd w:id="27"/>
      <w:bookmarkEnd w:id="28"/>
      <w:bookmarkEnd w:id="29"/>
    </w:p>
    <w:p>
      <w:pPr>
        <w:spacing w:line="360" w:lineRule="auto"/>
        <w:ind w:firstLine="840" w:firstLineChars="300"/>
        <w:rPr>
          <w:rFonts w:ascii="仿宋" w:hAnsi="仿宋" w:eastAsia="仿宋"/>
          <w:color w:val="000000" w:themeColor="text1"/>
          <w:sz w:val="28"/>
          <w:szCs w:val="28"/>
        </w:rPr>
      </w:pPr>
      <w:r>
        <w:rPr>
          <w:rFonts w:ascii="仿宋" w:hAnsi="仿宋" w:eastAsia="仿宋"/>
          <w:color w:val="000000" w:themeColor="text1"/>
          <w:sz w:val="28"/>
          <w:szCs w:val="28"/>
        </w:rPr>
        <w:t>1.</w:t>
      </w:r>
      <w:r>
        <w:rPr>
          <w:rFonts w:hint="eastAsia" w:ascii="仿宋" w:hAnsi="仿宋" w:eastAsia="仿宋"/>
          <w:color w:val="000000" w:themeColor="text1"/>
          <w:sz w:val="28"/>
          <w:szCs w:val="28"/>
        </w:rPr>
        <w:t>满足《中华人民共和国政府采购法》第二十二条规定；</w:t>
      </w:r>
    </w:p>
    <w:p>
      <w:pPr>
        <w:spacing w:line="360" w:lineRule="auto"/>
        <w:ind w:firstLine="840" w:firstLineChars="300"/>
        <w:rPr>
          <w:rFonts w:ascii="仿宋" w:hAnsi="仿宋" w:eastAsia="仿宋"/>
          <w:color w:val="000000" w:themeColor="text1"/>
          <w:sz w:val="28"/>
          <w:szCs w:val="28"/>
        </w:rPr>
      </w:pPr>
      <w:bookmarkStart w:id="30" w:name="_Toc28359081"/>
      <w:bookmarkStart w:id="31" w:name="_Toc28359004"/>
      <w:r>
        <w:rPr>
          <w:rFonts w:ascii="仿宋" w:hAnsi="仿宋" w:eastAsia="仿宋"/>
          <w:color w:val="000000" w:themeColor="text1"/>
          <w:sz w:val="28"/>
          <w:szCs w:val="28"/>
        </w:rPr>
        <w:t>2.未被“信用中国”网站（www.creditchina.gov.cn）列入失信被执行人、重大税收违法案件当事人名单、政府采购严重失信行为记录名单；</w:t>
      </w:r>
    </w:p>
    <w:p>
      <w:pPr>
        <w:spacing w:line="360" w:lineRule="auto"/>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3</w:t>
      </w:r>
      <w:r>
        <w:rPr>
          <w:rFonts w:ascii="仿宋" w:hAnsi="仿宋" w:eastAsia="仿宋"/>
          <w:color w:val="000000" w:themeColor="text1"/>
          <w:sz w:val="28"/>
          <w:szCs w:val="28"/>
        </w:rPr>
        <w:t>.本项目的特定资格要求：无。</w:t>
      </w:r>
    </w:p>
    <w:p>
      <w:pPr>
        <w:pStyle w:val="6"/>
        <w:spacing w:line="360" w:lineRule="auto"/>
        <w:rPr>
          <w:rFonts w:ascii="黑体" w:cs="宋体"/>
          <w:b w:val="0"/>
          <w:color w:val="000000" w:themeColor="text1"/>
          <w:sz w:val="28"/>
          <w:szCs w:val="28"/>
        </w:rPr>
      </w:pPr>
      <w:bookmarkStart w:id="32" w:name="_Toc35393792"/>
      <w:bookmarkStart w:id="33" w:name="_Toc35393623"/>
      <w:r>
        <w:rPr>
          <w:rFonts w:hint="eastAsia" w:ascii="黑体" w:hAnsi="黑体" w:cs="宋体"/>
          <w:b w:val="0"/>
          <w:color w:val="000000" w:themeColor="text1"/>
          <w:sz w:val="28"/>
          <w:szCs w:val="28"/>
        </w:rPr>
        <w:t>三、获取磋商文件</w:t>
      </w:r>
      <w:bookmarkEnd w:id="30"/>
      <w:bookmarkEnd w:id="31"/>
      <w:bookmarkEnd w:id="32"/>
      <w:bookmarkEnd w:id="33"/>
    </w:p>
    <w:p>
      <w:pPr>
        <w:spacing w:line="360" w:lineRule="auto"/>
        <w:ind w:firstLine="54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时间：</w:t>
      </w:r>
      <w:r>
        <w:rPr>
          <w:rFonts w:ascii="仿宋" w:hAnsi="仿宋" w:eastAsia="仿宋" w:cs="宋体"/>
          <w:color w:val="000000" w:themeColor="text1"/>
          <w:sz w:val="28"/>
          <w:szCs w:val="28"/>
          <w:u w:val="single"/>
        </w:rPr>
        <w:t>自本公告发布之日起</w:t>
      </w:r>
      <w:r>
        <w:rPr>
          <w:rFonts w:hint="eastAsia" w:ascii="仿宋" w:hAnsi="仿宋" w:eastAsia="仿宋" w:cs="宋体"/>
          <w:color w:val="000000" w:themeColor="text1"/>
          <w:sz w:val="28"/>
          <w:szCs w:val="28"/>
          <w:u w:val="single"/>
        </w:rPr>
        <w:t>至2023年4月3日9:30</w:t>
      </w:r>
    </w:p>
    <w:p>
      <w:pPr>
        <w:spacing w:line="360" w:lineRule="auto"/>
        <w:ind w:firstLine="540"/>
        <w:rPr>
          <w:rFonts w:ascii="仿宋" w:hAnsi="仿宋" w:eastAsia="仿宋" w:cs="宋体"/>
          <w:color w:val="000000" w:themeColor="text1"/>
          <w:sz w:val="28"/>
          <w:szCs w:val="28"/>
          <w:u w:val="single"/>
        </w:rPr>
      </w:pPr>
      <w:r>
        <w:rPr>
          <w:rFonts w:hint="eastAsia" w:ascii="仿宋" w:hAnsi="仿宋" w:eastAsia="仿宋" w:cs="宋体"/>
          <w:color w:val="000000" w:themeColor="text1"/>
          <w:sz w:val="28"/>
          <w:szCs w:val="28"/>
        </w:rPr>
        <w:t>地点：</w:t>
      </w:r>
      <w:r>
        <w:rPr>
          <w:rFonts w:hint="eastAsia" w:ascii="仿宋" w:hAnsi="仿宋" w:eastAsia="仿宋"/>
          <w:color w:val="000000" w:themeColor="text1"/>
          <w:sz w:val="28"/>
          <w:szCs w:val="28"/>
          <w:u w:val="single"/>
        </w:rPr>
        <w:t>江苏大生集团有限公司官网</w:t>
      </w:r>
    </w:p>
    <w:p>
      <w:pPr>
        <w:spacing w:line="360" w:lineRule="auto"/>
        <w:ind w:firstLine="540"/>
        <w:rPr>
          <w:rFonts w:ascii="仿宋" w:hAnsi="仿宋" w:eastAsia="仿宋" w:cs="宋体"/>
          <w:color w:val="000000" w:themeColor="text1"/>
          <w:sz w:val="28"/>
          <w:szCs w:val="28"/>
          <w:u w:val="single"/>
        </w:rPr>
      </w:pPr>
      <w:r>
        <w:rPr>
          <w:rFonts w:hint="eastAsia" w:ascii="仿宋" w:hAnsi="仿宋" w:eastAsia="仿宋" w:cs="宋体"/>
          <w:color w:val="000000" w:themeColor="text1"/>
          <w:sz w:val="28"/>
          <w:szCs w:val="28"/>
        </w:rPr>
        <w:t>方式：</w:t>
      </w:r>
      <w:r>
        <w:rPr>
          <w:rFonts w:hint="eastAsia" w:ascii="仿宋" w:hAnsi="仿宋" w:eastAsia="仿宋" w:cs="宋体"/>
          <w:color w:val="000000" w:themeColor="text1"/>
          <w:sz w:val="28"/>
          <w:szCs w:val="28"/>
          <w:u w:val="single"/>
        </w:rPr>
        <w:t>网上自行下载</w:t>
      </w:r>
    </w:p>
    <w:p>
      <w:pPr>
        <w:pStyle w:val="6"/>
        <w:spacing w:line="360" w:lineRule="auto"/>
        <w:rPr>
          <w:rFonts w:ascii="黑体" w:cs="宋体"/>
          <w:b w:val="0"/>
          <w:color w:val="000000" w:themeColor="text1"/>
          <w:sz w:val="28"/>
          <w:szCs w:val="28"/>
        </w:rPr>
      </w:pPr>
      <w:bookmarkStart w:id="34" w:name="_Toc28359082"/>
      <w:bookmarkStart w:id="35" w:name="_Toc28359005"/>
      <w:bookmarkStart w:id="36" w:name="_Toc35393624"/>
      <w:bookmarkStart w:id="37" w:name="_Toc35393793"/>
      <w:r>
        <w:rPr>
          <w:rFonts w:hint="eastAsia" w:ascii="黑体" w:hAnsi="黑体" w:cs="宋体"/>
          <w:b w:val="0"/>
          <w:color w:val="000000" w:themeColor="text1"/>
          <w:sz w:val="28"/>
          <w:szCs w:val="28"/>
        </w:rPr>
        <w:t>四、提交响应文件</w:t>
      </w:r>
      <w:bookmarkEnd w:id="34"/>
      <w:bookmarkEnd w:id="35"/>
      <w:r>
        <w:rPr>
          <w:rFonts w:hint="eastAsia" w:ascii="黑体" w:hAnsi="黑体" w:cs="宋体"/>
          <w:b w:val="0"/>
          <w:color w:val="000000" w:themeColor="text1"/>
          <w:sz w:val="28"/>
          <w:szCs w:val="28"/>
        </w:rPr>
        <w:t>截止时间、开标时间和地点</w:t>
      </w:r>
      <w:bookmarkEnd w:id="36"/>
      <w:bookmarkEnd w:id="37"/>
    </w:p>
    <w:p>
      <w:pPr>
        <w:spacing w:line="360" w:lineRule="auto"/>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时间：2023年4月3日9:30（北京时间）</w:t>
      </w:r>
    </w:p>
    <w:p>
      <w:pPr>
        <w:spacing w:line="360" w:lineRule="auto"/>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地点：江苏南通市崇川区唐闸南市街14号江苏大生集团三楼会议室，如有变动另行通知。</w:t>
      </w:r>
    </w:p>
    <w:p>
      <w:pPr>
        <w:pStyle w:val="6"/>
        <w:spacing w:line="360" w:lineRule="auto"/>
        <w:rPr>
          <w:rFonts w:ascii="黑体" w:cs="宋体"/>
          <w:b w:val="0"/>
          <w:color w:val="000000" w:themeColor="text1"/>
          <w:sz w:val="28"/>
          <w:szCs w:val="28"/>
        </w:rPr>
      </w:pPr>
      <w:bookmarkStart w:id="38" w:name="_Toc35393625"/>
      <w:bookmarkStart w:id="39" w:name="_Toc35393794"/>
      <w:bookmarkStart w:id="40" w:name="_Toc28359007"/>
      <w:bookmarkStart w:id="41" w:name="_Toc28359084"/>
      <w:r>
        <w:rPr>
          <w:rFonts w:hint="eastAsia" w:ascii="黑体" w:hAnsi="黑体" w:cs="宋体"/>
          <w:b w:val="0"/>
          <w:color w:val="000000" w:themeColor="text1"/>
          <w:sz w:val="28"/>
          <w:szCs w:val="28"/>
        </w:rPr>
        <w:t>五、公告期限</w:t>
      </w:r>
      <w:bookmarkEnd w:id="38"/>
      <w:bookmarkEnd w:id="39"/>
      <w:bookmarkEnd w:id="40"/>
      <w:bookmarkEnd w:id="41"/>
    </w:p>
    <w:p>
      <w:pPr>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自本公告发布之日起3个工作日。</w:t>
      </w:r>
    </w:p>
    <w:p>
      <w:pPr>
        <w:pStyle w:val="6"/>
        <w:spacing w:line="360" w:lineRule="auto"/>
        <w:rPr>
          <w:rFonts w:ascii="黑体" w:cs="宋体"/>
          <w:b w:val="0"/>
          <w:color w:val="000000" w:themeColor="text1"/>
          <w:sz w:val="28"/>
          <w:szCs w:val="28"/>
        </w:rPr>
      </w:pPr>
      <w:bookmarkStart w:id="42" w:name="_Toc35393795"/>
      <w:bookmarkStart w:id="43" w:name="_Toc35393626"/>
      <w:r>
        <w:rPr>
          <w:rFonts w:hint="eastAsia" w:ascii="黑体" w:hAnsi="黑体" w:cs="宋体"/>
          <w:b w:val="0"/>
          <w:color w:val="000000" w:themeColor="text1"/>
          <w:sz w:val="28"/>
          <w:szCs w:val="28"/>
        </w:rPr>
        <w:t>六、其他补充事宜</w:t>
      </w:r>
      <w:bookmarkEnd w:id="42"/>
      <w:bookmarkEnd w:id="43"/>
    </w:p>
    <w:p>
      <w:pPr>
        <w:spacing w:line="360" w:lineRule="auto"/>
        <w:rPr>
          <w:rFonts w:ascii="仿宋" w:hAnsi="仿宋" w:eastAsia="仿宋"/>
          <w:color w:val="000000" w:themeColor="text1"/>
          <w:sz w:val="28"/>
          <w:szCs w:val="28"/>
        </w:rPr>
      </w:pPr>
      <w:bookmarkStart w:id="44" w:name="_Toc28359085"/>
      <w:bookmarkStart w:id="45" w:name="_Toc35393796"/>
      <w:bookmarkStart w:id="46" w:name="_Toc35393627"/>
      <w:bookmarkStart w:id="47" w:name="_Toc28359008"/>
      <w:r>
        <w:rPr>
          <w:rFonts w:hint="eastAsia" w:ascii="仿宋" w:hAnsi="仿宋" w:eastAsia="仿宋"/>
          <w:color w:val="000000" w:themeColor="text1"/>
          <w:sz w:val="28"/>
          <w:szCs w:val="28"/>
        </w:rPr>
        <w:t xml:space="preserve">    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pStyle w:val="6"/>
        <w:spacing w:line="360" w:lineRule="auto"/>
        <w:rPr>
          <w:rFonts w:ascii="黑体" w:cs="宋体"/>
          <w:b w:val="0"/>
          <w:color w:val="000000" w:themeColor="text1"/>
          <w:sz w:val="28"/>
          <w:szCs w:val="28"/>
        </w:rPr>
      </w:pPr>
      <w:r>
        <w:rPr>
          <w:rFonts w:hint="eastAsia" w:ascii="黑体" w:hAnsi="黑体" w:cs="宋体"/>
          <w:b w:val="0"/>
          <w:color w:val="000000" w:themeColor="text1"/>
          <w:sz w:val="28"/>
          <w:szCs w:val="28"/>
        </w:rPr>
        <w:t>七、对本次招标提出询问，请按以下方式联系。</w:t>
      </w:r>
      <w:bookmarkEnd w:id="44"/>
      <w:bookmarkEnd w:id="45"/>
      <w:bookmarkEnd w:id="46"/>
      <w:bookmarkEnd w:id="47"/>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1.采购人信息</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名 称：江苏大生集团有限公司　　　　　　　　　　　　</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地址：江苏南通市崇川区唐闸南市街14号　　　　　　　　　　　　</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联系方式：18761797986　　　　　　　　　　　 </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2.采购代理机构信息</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名 称：江苏科建工程项目管理有限公司　　　　　　　　　　　　</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地　址：江苏省南通市崇川区北朱家园路28号佳成大厦三楼　　　　　　　　　　　　</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联系方式：张丽丽  0513-85110636，15951322510　　　　　　　　　　　　</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3.项目联系方式</w:t>
      </w:r>
    </w:p>
    <w:p>
      <w:pPr>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    项目联系人：王建平</w:t>
      </w:r>
    </w:p>
    <w:p>
      <w:pPr>
        <w:spacing w:line="360" w:lineRule="auto"/>
        <w:rPr>
          <w:rFonts w:ascii="仿宋" w:hAnsi="仿宋" w:eastAsia="仿宋"/>
          <w:color w:val="000000" w:themeColor="text1"/>
          <w:sz w:val="28"/>
          <w:szCs w:val="28"/>
        </w:rPr>
      </w:pPr>
      <w:r>
        <w:rPr>
          <w:rFonts w:hint="eastAsia" w:ascii="仿宋" w:hAnsi="仿宋" w:eastAsia="仿宋" w:cs="宋体"/>
          <w:color w:val="000000" w:themeColor="text1"/>
          <w:sz w:val="28"/>
          <w:szCs w:val="28"/>
        </w:rPr>
        <w:t xml:space="preserve">    电　话：18761797986</w:t>
      </w: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pStyle w:val="2"/>
        <w:ind w:left="1995" w:firstLine="480"/>
      </w:pPr>
    </w:p>
    <w:p>
      <w:pPr>
        <w:pStyle w:val="2"/>
        <w:ind w:left="1995" w:firstLine="480"/>
      </w:pPr>
    </w:p>
    <w:p>
      <w:pPr>
        <w:pStyle w:val="2"/>
        <w:ind w:left="1995" w:firstLine="480"/>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2235" w:leftChars="150" w:hanging="1920" w:hangingChars="800"/>
        <w:jc w:val="left"/>
        <w:rPr>
          <w:rFonts w:ascii="宋体" w:hAnsi="宋体" w:cs="宋体"/>
          <w:snapToGrid w:val="0"/>
          <w:color w:val="000000" w:themeColor="text1"/>
          <w:kern w:val="0"/>
          <w:sz w:val="24"/>
          <w:szCs w:val="24"/>
        </w:rPr>
      </w:pPr>
    </w:p>
    <w:p>
      <w:pPr>
        <w:spacing w:line="480" w:lineRule="exact"/>
        <w:ind w:left="3145" w:leftChars="150" w:hanging="2830" w:hangingChars="800"/>
        <w:jc w:val="left"/>
        <w:rPr>
          <w:rFonts w:ascii="宋体"/>
          <w:color w:val="000000" w:themeColor="text1"/>
          <w:w w:val="80"/>
        </w:rPr>
      </w:pPr>
      <w:r>
        <w:rPr>
          <w:rFonts w:hint="eastAsia" w:ascii="宋体" w:hAnsi="宋体" w:cs="宋体"/>
          <w:b/>
          <w:bCs/>
          <w:color w:val="000000" w:themeColor="text1"/>
          <w:w w:val="80"/>
          <w:sz w:val="44"/>
          <w:szCs w:val="44"/>
        </w:rPr>
        <w:t xml:space="preserve">                第二章</w:t>
      </w:r>
      <w:bookmarkEnd w:id="10"/>
      <w:bookmarkEnd w:id="11"/>
      <w:bookmarkEnd w:id="12"/>
      <w:bookmarkEnd w:id="13"/>
      <w:bookmarkEnd w:id="14"/>
      <w:bookmarkEnd w:id="15"/>
      <w:bookmarkEnd w:id="16"/>
      <w:bookmarkEnd w:id="17"/>
      <w:bookmarkEnd w:id="18"/>
      <w:bookmarkEnd w:id="19"/>
      <w:r>
        <w:rPr>
          <w:rFonts w:hint="eastAsia" w:ascii="宋体" w:hAnsi="宋体" w:cs="宋体"/>
          <w:b/>
          <w:bCs/>
          <w:color w:val="000000" w:themeColor="text1"/>
          <w:w w:val="80"/>
          <w:sz w:val="44"/>
          <w:szCs w:val="44"/>
        </w:rPr>
        <w:t xml:space="preserve">  磋商供应商须知</w:t>
      </w:r>
      <w:bookmarkEnd w:id="20"/>
    </w:p>
    <w:p>
      <w:pPr>
        <w:snapToGrid w:val="0"/>
        <w:spacing w:line="480" w:lineRule="exact"/>
        <w:ind w:firstLine="482" w:firstLineChars="200"/>
        <w:outlineLvl w:val="1"/>
        <w:rPr>
          <w:rFonts w:ascii="宋体"/>
          <w:b/>
          <w:bCs/>
          <w:color w:val="000000" w:themeColor="text1"/>
          <w:sz w:val="24"/>
          <w:szCs w:val="24"/>
        </w:rPr>
      </w:pPr>
      <w:bookmarkStart w:id="48" w:name="_Toc521201598"/>
      <w:bookmarkStart w:id="49" w:name="_Toc94544871"/>
      <w:bookmarkStart w:id="50" w:name="_Toc94544745"/>
      <w:bookmarkStart w:id="51" w:name="_Toc521203419"/>
      <w:bookmarkStart w:id="52" w:name="_Toc11499585"/>
      <w:bookmarkStart w:id="53" w:name="_Toc94585341"/>
      <w:bookmarkStart w:id="54" w:name="_Toc11500281"/>
      <w:bookmarkStart w:id="55" w:name="_Toc12670504"/>
      <w:bookmarkStart w:id="56" w:name="_Toc11554640"/>
      <w:bookmarkStart w:id="57" w:name="_Toc8895740"/>
      <w:r>
        <w:rPr>
          <w:rFonts w:hint="eastAsia" w:ascii="宋体" w:hAnsi="宋体" w:cs="宋体"/>
          <w:b/>
          <w:bCs/>
          <w:color w:val="000000" w:themeColor="text1"/>
          <w:sz w:val="24"/>
          <w:szCs w:val="24"/>
        </w:rPr>
        <w:t>一、说明</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、本竞争性磋商文件仅适用于江苏科建工程项目管理有限公司组织的竞争性磋商采购活动。</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、竞争性磋商活动及因本次磋商产生的合同受中国法律制约和保护。</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、竞争性磋商文件的解释权属于江苏大生集团有限公司。</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w:t>
      </w:r>
      <w:r>
        <w:rPr>
          <w:rFonts w:hint="eastAsia" w:ascii="宋体" w:hAnsi="宋体"/>
          <w:color w:val="000000" w:themeColor="text1"/>
          <w:sz w:val="24"/>
        </w:rPr>
        <w:t>供应商在知道或应当知道本项目采购公告及采购文件中的所有内容：如内容或页码短缺、资格要求和技术参数出现倾向性或排他性等表述的，应在本项目采购公告期限及期限届满之日后提出询问或以书面实名制形式提出质疑；未提出询问、质疑或是未在规定期间内提出询问、质疑的，视作供应商接受本项目采购公告及采购</w:t>
      </w:r>
      <w:r>
        <w:rPr>
          <w:rFonts w:hint="eastAsia" w:ascii="宋体" w:hAnsi="宋体" w:cs="宋体"/>
          <w:color w:val="000000" w:themeColor="text1"/>
          <w:sz w:val="24"/>
        </w:rPr>
        <w:t>文件中的全部内容；供应商不得在采购活动期间及采购结束后针对本项目采购公告及采购文件中的所有内容提出质疑、投诉。</w:t>
      </w:r>
      <w:r>
        <w:rPr>
          <w:rFonts w:hint="eastAsia" w:ascii="宋体" w:hAnsi="宋体" w:cs="宋体"/>
          <w:b/>
          <w:bCs/>
          <w:color w:val="000000" w:themeColor="text1"/>
          <w:sz w:val="24"/>
        </w:rPr>
        <w:t>非书面形式的不作为日后质疑提出的依据</w:t>
      </w:r>
      <w:r>
        <w:rPr>
          <w:rFonts w:hint="eastAsia" w:ascii="宋体" w:hAnsi="宋体"/>
          <w:b/>
          <w:bCs/>
          <w:color w:val="000000" w:themeColor="text1"/>
          <w:sz w:val="24"/>
        </w:rPr>
        <w:t>。</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二、磋商文件的澄清、修改、答疑</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、代理机构有权对发出的磋商文件进行必要的澄清、修改或补充。</w:t>
      </w:r>
    </w:p>
    <w:p>
      <w:pPr>
        <w:snapToGrid w:val="0"/>
        <w:spacing w:line="480" w:lineRule="exact"/>
        <w:ind w:firstLine="480" w:firstLineChars="200"/>
        <w:jc w:val="left"/>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、磋商文件的澄清、修改、补充等内容均以书面明确的形式发布，并以“江苏大生集团有限公司官网”发布的信息为准。</w:t>
      </w:r>
    </w:p>
    <w:p>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、代理机构对磋商文件的澄清、修改将构成磋商文件的一部分，对响应磋商的供应商具有约束力。</w:t>
      </w:r>
    </w:p>
    <w:p>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补充说明、澄清或修改的内容可能影响到竞争性磋商响应文件编制的，采购代理机构将在首次提交竞争性磋商响应文件截止日5天前，发布补充说明、澄清或修改公告。不足5日的，应当顺延首次提交竞争性磋商响应文件截止之日。</w:t>
      </w:r>
    </w:p>
    <w:p>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、除非代理机构以书面的形式对磋商文件作出澄清、修改及补充，供应商对涉及磋商文件的任何推论、理解和结论所造成的结果，均由供应商自负。</w:t>
      </w:r>
    </w:p>
    <w:p>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、采购单位视情组织答疑会。如有产生答疑且对磋商文件内容有修改，代理机构将按照本须知有关规定，以补充通知（公告）的方式发出。</w:t>
      </w:r>
    </w:p>
    <w:p>
      <w:pPr>
        <w:snapToGrid w:val="0"/>
        <w:spacing w:line="48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三、响应文件的编制及装订</w:t>
      </w:r>
    </w:p>
    <w:p>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供应商按磋商文件要求编写响应文件，并牢固装订成册。响应文件均需采用</w:t>
      </w:r>
      <w:r>
        <w:rPr>
          <w:rFonts w:ascii="宋体" w:hAnsi="宋体" w:cs="宋体"/>
          <w:color w:val="000000" w:themeColor="text1"/>
          <w:sz w:val="24"/>
          <w:szCs w:val="24"/>
        </w:rPr>
        <w:t>A4</w:t>
      </w:r>
      <w:r>
        <w:rPr>
          <w:rFonts w:hint="eastAsia" w:ascii="宋体" w:hAnsi="宋体" w:cs="宋体"/>
          <w:color w:val="000000" w:themeColor="text1"/>
          <w:sz w:val="24"/>
          <w:szCs w:val="24"/>
        </w:rPr>
        <w:t>纸（图纸等除外），不允许使用活页夹、拉杆夹、文件夹、塑料方便式书脊（插入式或穿孔式）装订。响应文件不得行间插字、涂改、增删，如修改错漏处，须经响应文件签署人签字并加盖公章。</w:t>
      </w:r>
    </w:p>
    <w:p>
      <w:pPr>
        <w:snapToGrid w:val="0"/>
        <w:spacing w:line="360" w:lineRule="auto"/>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四、响应文件的份数和签署</w:t>
      </w:r>
    </w:p>
    <w:p>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、响应文件由：</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1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①</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资格审查文件、</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2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②</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技术响应文件、</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3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③</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商务报价响应文件，共</w:t>
      </w:r>
      <w:r>
        <w:rPr>
          <w:rFonts w:ascii="宋体" w:hAnsi="宋体" w:cs="宋体"/>
          <w:color w:val="000000" w:themeColor="text1"/>
          <w:sz w:val="24"/>
          <w:szCs w:val="24"/>
        </w:rPr>
        <w:t>3</w:t>
      </w:r>
      <w:r>
        <w:rPr>
          <w:rFonts w:hint="eastAsia" w:ascii="宋体" w:hAnsi="宋体" w:cs="宋体"/>
          <w:color w:val="000000" w:themeColor="text1"/>
          <w:sz w:val="24"/>
          <w:szCs w:val="24"/>
        </w:rPr>
        <w:t>部分组成（以下由文件序号代称）。</w:t>
      </w:r>
    </w:p>
    <w:p>
      <w:pPr>
        <w:snapToGrid w:val="0"/>
        <w:spacing w:line="360" w:lineRule="auto"/>
        <w:ind w:firstLine="480" w:firstLineChars="200"/>
        <w:rPr>
          <w:rFonts w:ascii="宋体"/>
          <w:color w:val="000000" w:themeColor="text1"/>
          <w:sz w:val="24"/>
          <w:szCs w:val="24"/>
          <w:u w:val="single"/>
        </w:rPr>
      </w:pPr>
      <w:r>
        <w:rPr>
          <w:rFonts w:ascii="宋体" w:hAnsi="宋体" w:cs="宋体"/>
          <w:color w:val="000000" w:themeColor="text1"/>
          <w:sz w:val="24"/>
          <w:szCs w:val="24"/>
        </w:rPr>
        <w:t>2</w:t>
      </w:r>
      <w:r>
        <w:rPr>
          <w:rFonts w:hint="eastAsia" w:ascii="宋体" w:hAnsi="宋体" w:cs="宋体"/>
          <w:color w:val="000000" w:themeColor="text1"/>
          <w:sz w:val="24"/>
          <w:szCs w:val="24"/>
        </w:rPr>
        <w:t>、响应文件均为一式叁份，其中“正本”壹份和“副本”贰份。</w:t>
      </w:r>
    </w:p>
    <w:p>
      <w:pPr>
        <w:snapToGrid w:val="0"/>
        <w:spacing w:line="360" w:lineRule="auto"/>
        <w:ind w:firstLine="470" w:firstLineChars="196"/>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、在每份响应文件上要明确标注项目名称、对应的响应文件名称、供应商的全称、日期、“正本”、“副本”字样。“正本”和“副本”若有差异，概以“正本”为准。</w:t>
      </w:r>
    </w:p>
    <w:p>
      <w:pPr>
        <w:snapToGrid w:val="0"/>
        <w:spacing w:line="360" w:lineRule="auto"/>
        <w:ind w:firstLine="470" w:firstLineChars="196"/>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、供应商可将响应文件正副本统一密封或分别密封，如正本和副本分别密封的，应在封袋上标明正、副本字样。</w:t>
      </w:r>
    </w:p>
    <w:p>
      <w:pPr>
        <w:snapToGrid w:val="0"/>
        <w:spacing w:line="360" w:lineRule="auto"/>
        <w:ind w:firstLine="470" w:firstLineChars="196"/>
        <w:rPr>
          <w:rFonts w:ascii="宋体" w:hAnsi="宋体" w:cs="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、响应文件中的所有“正本”，其正文内容</w:t>
      </w:r>
    </w:p>
    <w:p>
      <w:pPr>
        <w:snapToGrid w:val="0"/>
        <w:spacing w:line="360" w:lineRule="auto"/>
        <w:ind w:firstLine="470" w:firstLineChars="196"/>
        <w:rPr>
          <w:rFonts w:ascii="宋体"/>
          <w:color w:val="000000" w:themeColor="text1"/>
          <w:sz w:val="24"/>
          <w:szCs w:val="24"/>
        </w:rPr>
      </w:pPr>
      <w:r>
        <w:rPr>
          <w:rFonts w:hint="eastAsia" w:ascii="宋体" w:hAnsi="宋体" w:cs="宋体"/>
          <w:color w:val="000000" w:themeColor="text1"/>
          <w:sz w:val="24"/>
          <w:szCs w:val="24"/>
        </w:rPr>
        <w:t>须按磋商文件要求由供应商法定代表人或被授权人签字（或盖章）并加盖单位公章。“副本”可复印，但须加盖单位公章。</w:t>
      </w:r>
    </w:p>
    <w:p>
      <w:pPr>
        <w:snapToGrid w:val="0"/>
        <w:spacing w:line="360" w:lineRule="auto"/>
        <w:ind w:firstLine="472" w:firstLineChars="196"/>
        <w:rPr>
          <w:rFonts w:ascii="宋体"/>
          <w:b/>
          <w:bCs/>
          <w:color w:val="000000" w:themeColor="text1"/>
          <w:sz w:val="24"/>
          <w:szCs w:val="24"/>
        </w:rPr>
      </w:pPr>
      <w:r>
        <w:rPr>
          <w:rFonts w:hint="eastAsia" w:ascii="宋体" w:hAnsi="宋体" w:cs="宋体"/>
          <w:b/>
          <w:bCs/>
          <w:color w:val="000000" w:themeColor="text1"/>
          <w:sz w:val="24"/>
          <w:szCs w:val="24"/>
        </w:rPr>
        <w:t>五、响应文件的密封及标记</w:t>
      </w:r>
    </w:p>
    <w:p>
      <w:pPr>
        <w:snapToGrid w:val="0"/>
        <w:spacing w:line="360" w:lineRule="auto"/>
        <w:ind w:firstLine="480" w:firstLineChars="200"/>
        <w:rPr>
          <w:rFonts w:ascii="宋体"/>
          <w:color w:val="000000" w:themeColor="text1"/>
          <w:sz w:val="24"/>
          <w:szCs w:val="24"/>
          <w:u w:val="single"/>
        </w:rPr>
      </w:pPr>
      <w:r>
        <w:rPr>
          <w:rFonts w:ascii="宋体" w:hAnsi="宋体" w:cs="宋体"/>
          <w:color w:val="000000" w:themeColor="text1"/>
          <w:sz w:val="24"/>
          <w:szCs w:val="24"/>
        </w:rPr>
        <w:t>1</w:t>
      </w:r>
      <w:r>
        <w:rPr>
          <w:rFonts w:hint="eastAsia" w:ascii="宋体" w:hAnsi="宋体" w:cs="宋体"/>
          <w:color w:val="000000" w:themeColor="text1"/>
          <w:sz w:val="24"/>
          <w:szCs w:val="24"/>
        </w:rPr>
        <w:t>、供应商须将本项目响应文件：</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1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①</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2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②</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、③</w:t>
      </w:r>
      <w:r>
        <w:rPr>
          <w:rFonts w:hint="eastAsia" w:ascii="宋体" w:hAnsi="宋体" w:cs="宋体"/>
          <w:b/>
          <w:bCs/>
          <w:color w:val="000000" w:themeColor="text1"/>
          <w:sz w:val="24"/>
          <w:szCs w:val="24"/>
        </w:rPr>
        <w:t>单独密封</w:t>
      </w:r>
      <w:r>
        <w:rPr>
          <w:rFonts w:hint="eastAsia" w:ascii="宋体" w:hAnsi="宋体" w:cs="宋体"/>
          <w:color w:val="000000" w:themeColor="text1"/>
          <w:sz w:val="24"/>
          <w:szCs w:val="24"/>
        </w:rPr>
        <w:t>。</w:t>
      </w:r>
    </w:p>
    <w:p>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、密封后，应在每一密封的响应文件上明确标注磋商项目名称、响应文件各自对应的名称、供应商的全称及日期。</w:t>
      </w:r>
    </w:p>
    <w:p>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、在边缝处加盖供应商公章或骑缝签字。</w:t>
      </w:r>
    </w:p>
    <w:p>
      <w:pPr>
        <w:snapToGrid w:val="0"/>
        <w:spacing w:line="360" w:lineRule="auto"/>
        <w:ind w:firstLine="472" w:firstLineChars="196"/>
        <w:rPr>
          <w:rFonts w:ascii="宋体" w:hAnsi="宋体" w:cs="宋体"/>
          <w:color w:val="000000" w:themeColor="text1"/>
          <w:sz w:val="24"/>
          <w:szCs w:val="24"/>
        </w:rPr>
      </w:pPr>
      <w:r>
        <w:rPr>
          <w:rFonts w:hint="eastAsia" w:ascii="宋体" w:hAnsi="宋体" w:cs="宋体"/>
          <w:b/>
          <w:bCs/>
          <w:color w:val="000000" w:themeColor="text1"/>
          <w:sz w:val="24"/>
          <w:szCs w:val="24"/>
        </w:rPr>
        <w:t>【特别提醒】</w:t>
      </w:r>
      <w:r>
        <w:rPr>
          <w:rFonts w:hint="eastAsia" w:ascii="宋体" w:hAnsi="宋体" w:cs="宋体"/>
          <w:color w:val="000000" w:themeColor="text1"/>
          <w:sz w:val="24"/>
          <w:szCs w:val="24"/>
        </w:rPr>
        <w:t>响应文件中的</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1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①</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和</w:t>
      </w:r>
      <w:r>
        <w:rPr>
          <w:rFonts w:ascii="宋体" w:hAnsi="宋体" w:cs="宋体"/>
          <w:color w:val="000000" w:themeColor="text1"/>
          <w:sz w:val="24"/>
          <w:szCs w:val="24"/>
        </w:rPr>
        <w:fldChar w:fldCharType="begin"/>
      </w:r>
      <w:r>
        <w:rPr>
          <w:rFonts w:ascii="宋体" w:hAnsi="宋体" w:cs="宋体"/>
          <w:color w:val="000000" w:themeColor="text1"/>
          <w:sz w:val="24"/>
          <w:szCs w:val="24"/>
        </w:rPr>
        <w:instrText xml:space="preserve"> = 2 \* GB3 </w:instrText>
      </w:r>
      <w:r>
        <w:rPr>
          <w:rFonts w:ascii="宋体" w:hAnsi="宋体" w:cs="宋体"/>
          <w:color w:val="000000" w:themeColor="text1"/>
          <w:sz w:val="24"/>
          <w:szCs w:val="24"/>
        </w:rPr>
        <w:fldChar w:fldCharType="separate"/>
      </w:r>
      <w:r>
        <w:rPr>
          <w:rFonts w:hint="eastAsia" w:ascii="宋体" w:hAnsi="宋体" w:cs="宋体"/>
          <w:color w:val="000000" w:themeColor="text1"/>
          <w:sz w:val="24"/>
          <w:szCs w:val="24"/>
        </w:rPr>
        <w:t>②</w:t>
      </w:r>
      <w:r>
        <w:rPr>
          <w:rFonts w:ascii="宋体" w:hAnsi="宋体" w:cs="宋体"/>
          <w:color w:val="000000" w:themeColor="text1"/>
          <w:sz w:val="24"/>
          <w:szCs w:val="24"/>
        </w:rPr>
        <w:fldChar w:fldCharType="end"/>
      </w:r>
      <w:r>
        <w:rPr>
          <w:rFonts w:hint="eastAsia" w:ascii="宋体" w:hAnsi="宋体" w:cs="宋体"/>
          <w:color w:val="000000" w:themeColor="text1"/>
          <w:sz w:val="24"/>
          <w:szCs w:val="24"/>
        </w:rPr>
        <w:t>的“正本”或“副本”中，均不得含有商务报价响应文件中报价表（报价单）内的任何项目价格，否则作无效投标处理。</w:t>
      </w:r>
    </w:p>
    <w:p>
      <w:pPr>
        <w:snapToGrid w:val="0"/>
        <w:spacing w:line="360" w:lineRule="auto"/>
        <w:ind w:firstLine="472" w:firstLineChars="196"/>
        <w:rPr>
          <w:rFonts w:ascii="宋体" w:hAnsi="宋体" w:cs="宋体"/>
          <w:b/>
          <w:color w:val="000000" w:themeColor="text1"/>
          <w:sz w:val="24"/>
          <w:szCs w:val="24"/>
        </w:rPr>
      </w:pPr>
      <w:r>
        <w:rPr>
          <w:rFonts w:hint="eastAsia" w:ascii="宋体" w:hAnsi="宋体" w:cs="宋体"/>
          <w:b/>
          <w:color w:val="000000" w:themeColor="text1"/>
          <w:sz w:val="24"/>
          <w:szCs w:val="24"/>
        </w:rPr>
        <w:t>六、</w:t>
      </w:r>
      <w:r>
        <w:rPr>
          <w:rFonts w:ascii="宋体" w:hAnsi="宋体" w:cs="宋体"/>
          <w:b/>
          <w:color w:val="000000" w:themeColor="text1"/>
          <w:sz w:val="24"/>
          <w:szCs w:val="24"/>
        </w:rPr>
        <w:t>递交时间</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w:t>
      </w:r>
      <w:r>
        <w:rPr>
          <w:rFonts w:ascii="宋体" w:hAnsi="宋体" w:cs="宋体"/>
          <w:color w:val="000000" w:themeColor="text1"/>
          <w:sz w:val="24"/>
          <w:szCs w:val="24"/>
        </w:rPr>
        <w:t>供应商须在规定的投标文件接收截止时间前送达指定地点。供应商送达投标文件，即视为已投标参加采购活动。</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友情提醒：代理机构将拒绝接收未按照招标文件要求密封的投标文件，拒绝接收在投标文件接收截止时间后递交的投标文件。如果供应商无故不到现场递交纸质投标文件或者故意迟到，影响开评标活动正常进行的，将被列作一般失信行为。</w:t>
      </w:r>
    </w:p>
    <w:p>
      <w:pPr>
        <w:snapToGrid w:val="0"/>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七、投标文件的有效期</w:t>
      </w:r>
    </w:p>
    <w:p>
      <w:pPr>
        <w:snapToGrid w:val="0"/>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1、从投标文件接收截止之日算起，</w:t>
      </w:r>
      <w:r>
        <w:rPr>
          <w:rFonts w:hint="eastAsia" w:ascii="宋体" w:hAnsi="宋体" w:cs="宋体"/>
          <w:b/>
          <w:color w:val="000000" w:themeColor="text1"/>
          <w:sz w:val="24"/>
        </w:rPr>
        <w:t>45</w:t>
      </w:r>
      <w:r>
        <w:rPr>
          <w:rFonts w:hint="eastAsia" w:ascii="宋体" w:hAnsi="宋体" w:cs="宋体"/>
          <w:color w:val="000000" w:themeColor="text1"/>
          <w:sz w:val="24"/>
        </w:rPr>
        <w:t>个“日历天”内投标书应保持有效。有效期短于这个规定期限的，投标将被拒绝。</w:t>
      </w:r>
    </w:p>
    <w:p>
      <w:pPr>
        <w:snapToGrid w:val="0"/>
        <w:spacing w:line="460" w:lineRule="exact"/>
        <w:ind w:firstLine="470" w:firstLineChars="196"/>
        <w:outlineLvl w:val="1"/>
        <w:rPr>
          <w:rFonts w:ascii="宋体" w:hAnsi="宋体" w:cs="宋体"/>
          <w:b/>
          <w:color w:val="000000" w:themeColor="text1"/>
          <w:sz w:val="24"/>
        </w:rPr>
      </w:pPr>
      <w:r>
        <w:rPr>
          <w:rFonts w:hint="eastAsia" w:ascii="宋体" w:hAnsi="宋体" w:cs="宋体"/>
          <w:color w:val="000000" w:themeColor="text1"/>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360" w:lineRule="auto"/>
        <w:ind w:firstLine="496" w:firstLineChars="206"/>
        <w:outlineLvl w:val="1"/>
        <w:rPr>
          <w:rFonts w:ascii="宋体"/>
          <w:b/>
          <w:bCs/>
          <w:color w:val="000000" w:themeColor="text1"/>
          <w:sz w:val="24"/>
          <w:szCs w:val="24"/>
        </w:rPr>
      </w:pPr>
      <w:r>
        <w:rPr>
          <w:rFonts w:hint="eastAsia" w:ascii="宋体" w:hAnsi="宋体" w:cs="宋体"/>
          <w:b/>
          <w:bCs/>
          <w:color w:val="000000" w:themeColor="text1"/>
          <w:sz w:val="24"/>
          <w:szCs w:val="24"/>
        </w:rPr>
        <w:t>八、磋商报价</w:t>
      </w:r>
    </w:p>
    <w:p>
      <w:pPr>
        <w:snapToGrid w:val="0"/>
        <w:spacing w:line="360" w:lineRule="auto"/>
        <w:ind w:firstLine="494" w:firstLineChars="206"/>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、本项目不接受任何有选择的报价。</w:t>
      </w:r>
    </w:p>
    <w:p>
      <w:pPr>
        <w:snapToGrid w:val="0"/>
        <w:spacing w:line="360" w:lineRule="auto"/>
        <w:ind w:firstLine="494" w:firstLineChars="206"/>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、磋商报价均以人民币为报价的币种。</w:t>
      </w:r>
    </w:p>
    <w:p>
      <w:pPr>
        <w:snapToGrid w:val="0"/>
        <w:spacing w:line="360" w:lineRule="auto"/>
        <w:ind w:firstLine="494" w:firstLineChars="206"/>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、磋商报价表必须加盖单位公章且必须经法定代表人或被授权人签字或盖章。报价表中的大写金额与小写金额、总价金额与按单价汇总金额，若有差异，将执行财政部公布第</w:t>
      </w:r>
      <w:r>
        <w:rPr>
          <w:rFonts w:ascii="宋体" w:hAnsi="宋体" w:cs="宋体"/>
          <w:color w:val="000000" w:themeColor="text1"/>
          <w:sz w:val="24"/>
          <w:szCs w:val="24"/>
        </w:rPr>
        <w:t>87</w:t>
      </w:r>
      <w:r>
        <w:rPr>
          <w:rFonts w:hint="eastAsia" w:ascii="宋体" w:hAnsi="宋体" w:cs="宋体"/>
          <w:color w:val="000000" w:themeColor="text1"/>
          <w:sz w:val="24"/>
          <w:szCs w:val="24"/>
        </w:rPr>
        <w:t>号令《政府采购货物和服务招标投标管理办法》第</w:t>
      </w:r>
      <w:r>
        <w:rPr>
          <w:rFonts w:ascii="宋体" w:hAnsi="宋体" w:cs="宋体"/>
          <w:color w:val="000000" w:themeColor="text1"/>
          <w:sz w:val="24"/>
          <w:szCs w:val="24"/>
        </w:rPr>
        <w:t>59</w:t>
      </w:r>
      <w:r>
        <w:rPr>
          <w:rFonts w:hint="eastAsia" w:ascii="宋体" w:hAnsi="宋体" w:cs="宋体"/>
          <w:color w:val="000000" w:themeColor="text1"/>
          <w:sz w:val="24"/>
          <w:szCs w:val="24"/>
        </w:rPr>
        <w:t>条的规定。</w:t>
      </w:r>
    </w:p>
    <w:p>
      <w:pPr>
        <w:snapToGrid w:val="0"/>
        <w:spacing w:line="360" w:lineRule="auto"/>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、投标服务总价报价应包含下列费用：</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w:t>
      </w:r>
      <w:r>
        <w:rPr>
          <w:rFonts w:hint="eastAsia" w:ascii="宋体" w:hAnsi="宋体" w:cs="宋体"/>
          <w:color w:val="000000" w:themeColor="text1"/>
          <w:sz w:val="24"/>
          <w:szCs w:val="24"/>
        </w:rPr>
        <w:t>磋商总报价（以人民币计价）为完成本服务项目发生的所有含税费用、支付给员工的工资和国家强制缴纳的各种社会保障资金，以及供应商认为需要的其他费用等。</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5、除非因特殊原因并经买卖双方协商同意，成交的供应商（以下称成交人）不得再要求追加任何费用。同时，除非合同条款中另有规定，否则，成交人的成交价在合同实施期间不因市场变化因素而变动。</w:t>
      </w:r>
    </w:p>
    <w:p>
      <w:pPr>
        <w:snapToGrid w:val="0"/>
        <w:spacing w:line="360" w:lineRule="auto"/>
        <w:ind w:firstLine="496" w:firstLineChars="206"/>
        <w:outlineLvl w:val="1"/>
        <w:rPr>
          <w:rFonts w:ascii="宋体" w:hAnsi="宋体" w:cs="宋体"/>
          <w:b/>
          <w:bCs/>
          <w:color w:val="000000" w:themeColor="text1"/>
          <w:sz w:val="24"/>
          <w:szCs w:val="24"/>
        </w:rPr>
      </w:pPr>
      <w:r>
        <w:rPr>
          <w:rFonts w:hint="eastAsia" w:ascii="宋体" w:hAnsi="宋体" w:cs="宋体"/>
          <w:b/>
          <w:bCs/>
          <w:color w:val="000000" w:themeColor="text1"/>
          <w:sz w:val="24"/>
          <w:szCs w:val="24"/>
        </w:rPr>
        <w:t>九、项目涉及到的现场勘察</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1、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2、采购人向供应商提供有关现场的资料和数据，是采购人现有的并认为能使供应商可利用的资料。采购人对供应商由此而做出的推论、理解和结论概不负责。</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3、潜在供应商为响应项目而勘察现场，但不得因此使采购人承担有关的责任和蒙受损失。供应商须承担勘察现场而带来的一切责任及风险。</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4、供应商应在现场勘察时，熟悉现场及周围交通道路等情况，以获得一切可能影响磋商响应内容的直接资料。供应商成交后，不得以不完全了解现场情况为理由而向采购人提出任何索赔的要求，对此采购人不承担任何责任，并且将不作任何答复。</w:t>
      </w:r>
    </w:p>
    <w:p>
      <w:pPr>
        <w:snapToGrid w:val="0"/>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十、磋商响应费用</w:t>
      </w:r>
    </w:p>
    <w:p>
      <w:pPr>
        <w:snapToGrid w:val="0"/>
        <w:spacing w:line="480" w:lineRule="exact"/>
        <w:ind w:firstLine="460" w:firstLineChars="192"/>
        <w:rPr>
          <w:rFonts w:ascii="宋体" w:hAnsi="宋体" w:cs="宋体"/>
          <w:color w:val="000000"/>
          <w:sz w:val="24"/>
        </w:rPr>
      </w:pPr>
      <w:r>
        <w:rPr>
          <w:rFonts w:hint="eastAsia" w:ascii="宋体" w:hAnsi="宋体" w:cs="宋体"/>
          <w:color w:val="000000"/>
          <w:sz w:val="24"/>
        </w:rPr>
        <w:t>1.各供应商须在递交响应文件的同时缴纳文件报名费300元。无论是否成交，该费用不予退还。</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2.</w:t>
      </w:r>
      <w:r>
        <w:rPr>
          <w:rFonts w:hint="eastAsia" w:ascii="宋体" w:hAnsi="宋体"/>
          <w:sz w:val="24"/>
        </w:rPr>
        <w:t>中标人应在领取中标通知书时向招标代理人一次性支付评标费和招标代理费（按计价格（2002）1980号收取，以中标价为基价），请投标人将此项费用考虑在总报价中，不单列。</w:t>
      </w:r>
    </w:p>
    <w:p>
      <w:pPr>
        <w:snapToGrid w:val="0"/>
        <w:spacing w:line="420" w:lineRule="exact"/>
        <w:ind w:firstLine="494" w:firstLineChars="206"/>
        <w:rPr>
          <w:rFonts w:cs="宋体"/>
          <w:color w:val="000000" w:themeColor="text1"/>
          <w:sz w:val="24"/>
          <w:szCs w:val="24"/>
        </w:rPr>
      </w:pPr>
      <w:r>
        <w:rPr>
          <w:rFonts w:hint="eastAsia" w:cs="宋体"/>
          <w:color w:val="000000" w:themeColor="text1"/>
          <w:sz w:val="24"/>
          <w:szCs w:val="24"/>
        </w:rPr>
        <w:t>代理费由成交单位在领取成交通知书前支付给代理公司，成交金额以成交总价为准。</w:t>
      </w:r>
    </w:p>
    <w:p>
      <w:pPr>
        <w:snapToGrid w:val="0"/>
        <w:spacing w:line="480" w:lineRule="exact"/>
        <w:ind w:firstLine="460" w:firstLineChars="192"/>
        <w:rPr>
          <w:rFonts w:ascii="宋体" w:hAnsi="宋体" w:cs="宋体"/>
          <w:color w:val="000000" w:themeColor="text1"/>
          <w:sz w:val="24"/>
          <w:szCs w:val="24"/>
        </w:rPr>
      </w:pPr>
      <w:r>
        <w:rPr>
          <w:rFonts w:hint="eastAsia" w:ascii="宋体" w:hAnsi="宋体" w:cs="宋体"/>
          <w:color w:val="000000" w:themeColor="text1"/>
          <w:sz w:val="24"/>
          <w:szCs w:val="24"/>
        </w:rPr>
        <w:t>3</w:t>
      </w:r>
      <w:r>
        <w:rPr>
          <w:rFonts w:ascii="宋体" w:hAnsi="宋体" w:cs="宋体"/>
          <w:color w:val="000000" w:themeColor="text1"/>
          <w:sz w:val="24"/>
          <w:szCs w:val="24"/>
        </w:rPr>
        <w:t>.</w:t>
      </w:r>
      <w:r>
        <w:rPr>
          <w:rFonts w:hint="eastAsia" w:ascii="宋体" w:hAnsi="宋体" w:cs="宋体"/>
          <w:color w:val="000000" w:themeColor="text1"/>
          <w:sz w:val="24"/>
          <w:szCs w:val="24"/>
        </w:rPr>
        <w:t>响应的供应商自行考虑包含在报价内的该项费用及风险并将其综合在单价内，不得单列。</w:t>
      </w:r>
    </w:p>
    <w:p>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十一、联合体参与磋商</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不接受任何形式的联合体参与本项目的竞争性磋商。</w:t>
      </w:r>
    </w:p>
    <w:p>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十二、响应文件及磋商费用</w:t>
      </w:r>
    </w:p>
    <w:p>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1、磋商程序顺利进行后，除供应商的原件可退回外，其余所有的响应文件都将作为档案保存，不论成交与否，代理机构均不退回（未拆封的除外）。</w:t>
      </w:r>
    </w:p>
    <w:p>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2、无论磋商过程和结果如何，参加项目磋商的供应商自行承担与本次项目磋商有关的全部费用。</w:t>
      </w:r>
    </w:p>
    <w:p>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十三、履约保证金</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1、本项目成交后的履约保证金为项目成交价的</w:t>
      </w:r>
      <w:r>
        <w:rPr>
          <w:rFonts w:hint="eastAsia" w:ascii="宋体" w:hAnsi="宋体" w:cs="宋体"/>
          <w:color w:val="000000" w:themeColor="text1"/>
          <w:sz w:val="24"/>
          <w:szCs w:val="24"/>
          <w:u w:val="single"/>
        </w:rPr>
        <w:t xml:space="preserve">5%  </w:t>
      </w:r>
      <w:r>
        <w:rPr>
          <w:rFonts w:hint="eastAsia" w:ascii="宋体" w:hAnsi="宋体" w:cs="宋体"/>
          <w:color w:val="000000" w:themeColor="text1"/>
          <w:sz w:val="24"/>
          <w:szCs w:val="24"/>
        </w:rPr>
        <w:t>。</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2、成交供应商可以选择以</w:t>
      </w:r>
      <w:r>
        <w:rPr>
          <w:rFonts w:hint="eastAsia" w:ascii="宋体" w:hAnsi="宋体" w:cs="宋体"/>
          <w:color w:val="000000" w:themeColor="text1"/>
          <w:sz w:val="24"/>
          <w:szCs w:val="24"/>
          <w:u w:val="single"/>
        </w:rPr>
        <w:t xml:space="preserve">  支票、汇票、本票或者金融机构、担保机构出具的保函、履约保证保险  </w:t>
      </w:r>
      <w:r>
        <w:rPr>
          <w:rFonts w:hint="eastAsia" w:ascii="宋体" w:hAnsi="宋体" w:cs="宋体"/>
          <w:color w:val="000000" w:themeColor="text1"/>
          <w:sz w:val="24"/>
          <w:szCs w:val="24"/>
        </w:rPr>
        <w:t>等非现金形式缴纳履约保证金。</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3、成交供应商在中标通知书发出之日起15日内，凭“中标通知书”和“履约保证金”的缴纳凭证，与采购人签订合同，超期或未有协商，则视为自动放弃成交资格。</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4、成交供应商在按要求保质保量的完成该项目合同并通过验收后，采购人凭成交供应商提交的申请，一次性无息退还该合同项目的履约保证金。（保险除外）</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5、由于成交供应商原因，在签订合同后出现不按合同履行的情况，采购单位有权将履约保证金作为违约金，全额不予退还，同时采购单位亦有权终止合同，成交供应商还须承担相应的法律赔偿责任。</w:t>
      </w:r>
    </w:p>
    <w:p>
      <w:pPr>
        <w:snapToGrid w:val="0"/>
        <w:spacing w:line="360" w:lineRule="auto"/>
        <w:ind w:firstLine="472" w:firstLineChars="196"/>
        <w:outlineLvl w:val="1"/>
        <w:rPr>
          <w:rFonts w:ascii="宋体" w:hAnsi="宋体" w:cs="宋体"/>
          <w:b/>
          <w:color w:val="000000" w:themeColor="text1"/>
          <w:sz w:val="24"/>
          <w:szCs w:val="24"/>
        </w:rPr>
      </w:pPr>
      <w:r>
        <w:rPr>
          <w:rFonts w:hint="eastAsia" w:ascii="宋体" w:hAnsi="宋体" w:cs="宋体"/>
          <w:b/>
          <w:color w:val="000000" w:themeColor="text1"/>
          <w:sz w:val="24"/>
          <w:szCs w:val="24"/>
        </w:rPr>
        <w:t>十四、未尽事宜</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按《中华人民共和国政府采购法》、《政府采购竞争性磋商采购方式管理暂行办法》及其他有关法律法规的规定执行。</w:t>
      </w:r>
    </w:p>
    <w:p>
      <w:pPr>
        <w:spacing w:line="360" w:lineRule="auto"/>
        <w:rPr>
          <w:rFonts w:ascii="宋体" w:hAnsi="宋体" w:cs="宋体"/>
          <w:color w:val="000000" w:themeColor="text1"/>
          <w:sz w:val="24"/>
          <w:szCs w:val="24"/>
        </w:rPr>
        <w:sectPr>
          <w:headerReference r:id="rId9" w:type="default"/>
          <w:footerReference r:id="rId10" w:type="default"/>
          <w:type w:val="continuous"/>
          <w:pgSz w:w="11906" w:h="16838"/>
          <w:pgMar w:top="1134" w:right="1134" w:bottom="1134" w:left="1225" w:header="851" w:footer="992" w:gutter="0"/>
          <w:pgNumType w:fmt="numberInDash"/>
          <w:cols w:space="720" w:num="1"/>
          <w:docGrid w:linePitch="312" w:charSpace="0"/>
        </w:sectPr>
      </w:pPr>
      <w:bookmarkStart w:id="58" w:name="_Toc363573855"/>
    </w:p>
    <w:bookmarkEnd w:id="48"/>
    <w:bookmarkEnd w:id="49"/>
    <w:bookmarkEnd w:id="50"/>
    <w:bookmarkEnd w:id="51"/>
    <w:bookmarkEnd w:id="52"/>
    <w:bookmarkEnd w:id="53"/>
    <w:bookmarkEnd w:id="54"/>
    <w:bookmarkEnd w:id="55"/>
    <w:bookmarkEnd w:id="56"/>
    <w:bookmarkEnd w:id="57"/>
    <w:bookmarkEnd w:id="58"/>
    <w:p>
      <w:pPr>
        <w:spacing w:line="360" w:lineRule="auto"/>
        <w:jc w:val="center"/>
        <w:rPr>
          <w:rFonts w:ascii="宋体" w:hAnsi="宋体" w:cs="宋体"/>
          <w:color w:val="000000" w:themeColor="text1"/>
          <w:sz w:val="24"/>
          <w:szCs w:val="24"/>
        </w:rPr>
      </w:pPr>
      <w:bookmarkStart w:id="59" w:name="_Toc521203420"/>
      <w:bookmarkStart w:id="60" w:name="_Toc94544746"/>
      <w:bookmarkStart w:id="61" w:name="_Toc11499586"/>
      <w:bookmarkStart w:id="62" w:name="_Toc521201599"/>
      <w:bookmarkStart w:id="63" w:name="_Toc94544872"/>
      <w:bookmarkStart w:id="64" w:name="_Toc13803483"/>
      <w:bookmarkStart w:id="65" w:name="_Toc12670505"/>
      <w:bookmarkStart w:id="66" w:name="_Toc8895741"/>
      <w:bookmarkStart w:id="67" w:name="_Toc363573856"/>
      <w:bookmarkStart w:id="68" w:name="_Toc11554641"/>
      <w:bookmarkStart w:id="69" w:name="_Toc94585342"/>
      <w:bookmarkStart w:id="70" w:name="_Toc11500282"/>
      <w:r>
        <w:rPr>
          <w:rFonts w:hint="eastAsia" w:ascii="宋体" w:hAnsi="宋体" w:cs="宋体"/>
          <w:b/>
          <w:bCs/>
          <w:color w:val="000000" w:themeColor="text1"/>
          <w:w w:val="80"/>
          <w:sz w:val="44"/>
          <w:szCs w:val="44"/>
        </w:rPr>
        <w:t>第三章  项目需求</w:t>
      </w:r>
    </w:p>
    <w:bookmarkEnd w:id="59"/>
    <w:bookmarkEnd w:id="60"/>
    <w:bookmarkEnd w:id="61"/>
    <w:bookmarkEnd w:id="62"/>
    <w:bookmarkEnd w:id="63"/>
    <w:bookmarkEnd w:id="64"/>
    <w:bookmarkEnd w:id="65"/>
    <w:bookmarkEnd w:id="66"/>
    <w:bookmarkEnd w:id="67"/>
    <w:bookmarkEnd w:id="68"/>
    <w:bookmarkEnd w:id="69"/>
    <w:bookmarkEnd w:id="70"/>
    <w:p>
      <w:pPr>
        <w:spacing w:line="440" w:lineRule="exact"/>
        <w:ind w:firstLine="482" w:firstLineChars="200"/>
        <w:outlineLvl w:val="1"/>
        <w:rPr>
          <w:rFonts w:ascii="宋体" w:hAnsi="宋体" w:cs="宋体"/>
          <w:b/>
          <w:bCs/>
          <w:color w:val="000000" w:themeColor="text1"/>
          <w:sz w:val="24"/>
          <w:szCs w:val="24"/>
        </w:rPr>
      </w:pPr>
      <w:bookmarkStart w:id="71" w:name="_Toc94544747"/>
      <w:bookmarkStart w:id="72" w:name="_Toc94544873"/>
      <w:bookmarkStart w:id="73" w:name="_Toc13803484"/>
      <w:bookmarkStart w:id="74" w:name="_Toc8895742"/>
      <w:bookmarkStart w:id="75" w:name="_Toc11500283"/>
      <w:bookmarkStart w:id="76" w:name="_Toc11499587"/>
      <w:bookmarkStart w:id="77" w:name="_Toc12670506"/>
      <w:bookmarkStart w:id="78" w:name="_Toc11554642"/>
      <w:r>
        <w:rPr>
          <w:rFonts w:hint="eastAsia" w:ascii="宋体" w:hAnsi="宋体" w:cs="宋体"/>
          <w:b/>
          <w:bCs/>
          <w:color w:val="000000" w:themeColor="text1"/>
          <w:sz w:val="24"/>
          <w:szCs w:val="24"/>
        </w:rPr>
        <w:t>一、</w:t>
      </w:r>
      <w:r>
        <w:rPr>
          <w:rFonts w:hint="eastAsia" w:ascii="宋体" w:hAnsi="宋体" w:cs="宋体"/>
          <w:b/>
          <w:bCs/>
          <w:color w:val="000000" w:themeColor="text1"/>
          <w:kern w:val="0"/>
          <w:sz w:val="24"/>
          <w:szCs w:val="24"/>
          <w:lang w:val="zh-CN"/>
        </w:rPr>
        <w:t>项目概况</w:t>
      </w:r>
    </w:p>
    <w:p>
      <w:pPr>
        <w:spacing w:line="440" w:lineRule="exact"/>
        <w:ind w:firstLine="480" w:firstLineChars="200"/>
        <w:rPr>
          <w:rFonts w:ascii="宋体" w:hAnsi="宋体" w:cs="宋体"/>
          <w:color w:val="000000" w:themeColor="text1"/>
          <w:kern w:val="0"/>
          <w:sz w:val="24"/>
          <w:szCs w:val="24"/>
          <w:lang w:val="zh-CN"/>
        </w:rPr>
      </w:pPr>
      <w:r>
        <w:rPr>
          <w:rFonts w:hint="eastAsia" w:ascii="宋体" w:hAnsi="宋体" w:cs="宋体"/>
          <w:color w:val="000000" w:themeColor="text1"/>
          <w:kern w:val="0"/>
          <w:sz w:val="24"/>
          <w:szCs w:val="24"/>
          <w:lang w:val="zh-CN"/>
        </w:rPr>
        <w:t>1、项目名称：江苏大生集团信息化系统改造项目</w:t>
      </w:r>
    </w:p>
    <w:p>
      <w:pPr>
        <w:spacing w:line="500" w:lineRule="exact"/>
        <w:ind w:firstLine="480" w:firstLineChars="200"/>
      </w:pPr>
      <w:r>
        <w:rPr>
          <w:rFonts w:hint="eastAsia" w:ascii="宋体" w:hAnsi="宋体" w:cs="宋体"/>
          <w:color w:val="000000" w:themeColor="text1"/>
          <w:kern w:val="0"/>
          <w:sz w:val="24"/>
          <w:szCs w:val="24"/>
          <w:lang w:val="zh-CN"/>
        </w:rPr>
        <w:t>2、项目地点：江苏大生集团有限公司</w:t>
      </w:r>
    </w:p>
    <w:p>
      <w:pPr>
        <w:spacing w:line="50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lang w:val="zh-CN"/>
        </w:rPr>
        <w:t>3、</w:t>
      </w:r>
      <w:r>
        <w:rPr>
          <w:rFonts w:hint="eastAsia" w:ascii="宋体" w:hAnsi="宋体" w:cs="宋体"/>
          <w:color w:val="000000" w:themeColor="text1"/>
          <w:kern w:val="0"/>
          <w:sz w:val="24"/>
          <w:szCs w:val="24"/>
        </w:rPr>
        <w:t>实施需求说明</w:t>
      </w:r>
    </w:p>
    <w:tbl>
      <w:tblPr>
        <w:tblStyle w:val="5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71"/>
        <w:gridCol w:w="127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pPr>
              <w:jc w:val="center"/>
              <w:textAlignment w:val="center"/>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模块</w:t>
            </w:r>
          </w:p>
        </w:tc>
        <w:tc>
          <w:tcPr>
            <w:tcW w:w="1276" w:type="dxa"/>
            <w:shd w:val="clear" w:color="auto" w:fill="auto"/>
            <w:vAlign w:val="center"/>
          </w:tcPr>
          <w:p>
            <w:pPr>
              <w:jc w:val="center"/>
              <w:textAlignment w:val="center"/>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项目</w:t>
            </w:r>
          </w:p>
        </w:tc>
        <w:tc>
          <w:tcPr>
            <w:tcW w:w="6520" w:type="dxa"/>
            <w:shd w:val="clear" w:color="auto" w:fill="auto"/>
            <w:vAlign w:val="center"/>
          </w:tcPr>
          <w:p>
            <w:pPr>
              <w:jc w:val="center"/>
              <w:textAlignment w:val="center"/>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业务场景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总体</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ERP总体要求</w:t>
            </w:r>
          </w:p>
        </w:tc>
        <w:tc>
          <w:tcPr>
            <w:tcW w:w="6520" w:type="dxa"/>
            <w:shd w:val="clear" w:color="auto" w:fill="auto"/>
          </w:tcPr>
          <w:p>
            <w:pPr>
              <w:textAlignment w:val="top"/>
            </w:pPr>
            <w:r>
              <w:t>1、支持多组织制造业ERP的云应用</w:t>
            </w:r>
            <w:r>
              <w:rPr>
                <w:rFonts w:hint="eastAsia"/>
              </w:rPr>
              <w:t>。</w:t>
            </w:r>
          </w:p>
          <w:p>
            <w:pPr>
              <w:textAlignment w:val="top"/>
            </w:pPr>
            <w:r>
              <w:t xml:space="preserve">2、纯B/S架构，客户端免安装或插件安装，支持广域网、局域网应用。降低企业集团维护难度。 </w:t>
            </w:r>
          </w:p>
          <w:p>
            <w:pPr>
              <w:textAlignment w:val="top"/>
            </w:pPr>
            <w:r>
              <w:t>3、企业集团用户在任何能上互联网的地方根据权限安全访问</w:t>
            </w:r>
            <w:r>
              <w:rPr>
                <w:rFonts w:hint="eastAsia"/>
              </w:rPr>
              <w:t>。</w:t>
            </w:r>
          </w:p>
          <w:p>
            <w:pPr>
              <w:textAlignment w:val="top"/>
            </w:pPr>
            <w:r>
              <w:t>4、支持工作流管理，ERP内嵌或整合工作流引擎</w:t>
            </w:r>
            <w:r>
              <w:rPr>
                <w:rFonts w:hint="eastAsia"/>
              </w:rPr>
              <w:t>。</w:t>
            </w:r>
          </w:p>
          <w:p>
            <w:pPr>
              <w:textAlignment w:val="top"/>
            </w:pPr>
            <w:r>
              <w:t>5</w:t>
            </w:r>
            <w:r>
              <w:rPr>
                <w:rFonts w:hint="eastAsia"/>
              </w:rPr>
              <w:t>、</w:t>
            </w:r>
            <w:r>
              <w:t>构建集团财务管控体系、规范集团财务基础数据、合并报</w:t>
            </w:r>
            <w:r>
              <w:rPr>
                <w:rFonts w:hint="eastAsia"/>
              </w:rPr>
              <w:t>表、</w:t>
            </w:r>
            <w:r>
              <w:t>集团资金管理、预算管控、银企直联、税控直连</w:t>
            </w:r>
            <w:r>
              <w:rPr>
                <w:rFonts w:hint="eastAsia"/>
              </w:rPr>
              <w:t>、</w:t>
            </w:r>
            <w:r>
              <w:t>财务共享、全面预算、利润中心、业财一体化</w:t>
            </w:r>
            <w:r>
              <w:rPr>
                <w:rFonts w:hint="eastAsia"/>
              </w:rPr>
              <w:t>、移动审批</w:t>
            </w:r>
            <w:r>
              <w:t>。</w:t>
            </w:r>
          </w:p>
          <w:p>
            <w:pPr>
              <w:pStyle w:val="2"/>
              <w:ind w:firstLine="0" w:firstLineChars="0"/>
              <w:rPr>
                <w:rFonts w:eastAsiaTheme="minorEastAsia"/>
              </w:rPr>
            </w:pPr>
            <w:r>
              <w:rPr>
                <w:rFonts w:hint="eastAsia" w:ascii="Times New Roman" w:hAnsi="Times New Roman" w:cs="Times New Roman"/>
                <w:sz w:val="21"/>
                <w:szCs w:val="21"/>
              </w:rPr>
              <w:t>6、本次项目实施范围：大生集团及所有子分公司，总计23个单位。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财务云</w:t>
            </w: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总账管理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hint="eastAsia" w:cs="微软雅黑" w:asciiTheme="minorEastAsia" w:hAnsiTheme="minorEastAsia" w:eastAsiaTheme="minorEastAsia"/>
                <w:color w:val="000000"/>
                <w:sz w:val="24"/>
                <w:szCs w:val="24"/>
              </w:rPr>
              <w:t>总账系统是财务会计系统中最核心的系统，以凭证处理为中心，进行账簿报表的管理。通过智能会计平台与各个业务系统无缝连接，实现数据共享。企业所有的核算最终在总账中体现。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hint="eastAsia" w:cs="微软雅黑" w:asciiTheme="minorEastAsia" w:hAnsiTheme="minorEastAsia" w:eastAsiaTheme="minorEastAsia"/>
                <w:color w:val="000000"/>
                <w:sz w:val="24"/>
                <w:szCs w:val="24"/>
              </w:rPr>
              <w:t>凭证管理、</w:t>
            </w:r>
            <w:r>
              <w:rPr>
                <w:rFonts w:cs="微软雅黑" w:asciiTheme="minorEastAsia" w:hAnsiTheme="minorEastAsia" w:eastAsiaTheme="minorEastAsia"/>
                <w:color w:val="000000"/>
                <w:sz w:val="24"/>
                <w:szCs w:val="24"/>
              </w:rPr>
              <w:t>账簿查询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财务报表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多账簿合并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现金流量处理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期末处理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调整期间业务处理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往来管理</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left"/>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智能会计平台</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智能会计平台是自动生成凭证的工具，是业务数据与财务数据的对接平台，并通过会计政策、会计核算体系的架构对业务进行财务监控、分类、记账。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凭证生成</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凭证生成情况查询</w:t>
            </w:r>
            <w:r>
              <w:rPr>
                <w:rFonts w:hint="eastAsia" w:cs="微软雅黑" w:asciiTheme="minorEastAsia" w:hAnsiTheme="minorEastAsia" w:eastAsiaTheme="minorEastAsia"/>
                <w:color w:val="000000"/>
                <w:sz w:val="24"/>
                <w:szCs w:val="24"/>
              </w:rPr>
              <w:t>、业</w:t>
            </w:r>
            <w:r>
              <w:rPr>
                <w:rFonts w:cs="微软雅黑" w:asciiTheme="minorEastAsia" w:hAnsiTheme="minorEastAsia" w:eastAsiaTheme="minorEastAsia"/>
                <w:color w:val="000000"/>
                <w:sz w:val="24"/>
                <w:szCs w:val="24"/>
              </w:rPr>
              <w:t>务凭证查询、总账凭证查询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业务对账检查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业务报表对账</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业务报表对账结果</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业务单据对账</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自动对账</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智能记账</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智能会计工作台</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报表管理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财务报表平台，基于类 EXCEL 报表编辑器，通过快速报表向导，灵活的取数公式，帮 助用户快速、准确地编制企业对外会计报表以及各类财务管理报表。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报表模板管理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表间勾稽关系</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自定义报表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报表取数函数</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报表项目数据查询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报表数据授权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应收款管理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应收款管理系统通过应收款确认、到期收款、应收收款核销、应收开票核销、期末处理、报表分析达到对应收款的精细化管理。其中应收款确认分为对销售应收的确认和对其他应收的确认。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收款条件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应收确认</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应收开票核销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应收收款核销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应收转销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期末处理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应收坏账风险监控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应付款管理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应付款管理系统通过应付款确认、到期付款、应付付款核销、应付开票核销、期末处 理、报表分析达到对应付款的精细化管理。其中应付款确认分为对采购应付的确认和对其他应付的确认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hint="eastAsia" w:cs="微软雅黑" w:asciiTheme="minorEastAsia" w:hAnsiTheme="minorEastAsia" w:eastAsiaTheme="minorEastAsia"/>
                <w:color w:val="000000"/>
                <w:sz w:val="24"/>
                <w:szCs w:val="24"/>
              </w:rPr>
              <w:t>付</w:t>
            </w:r>
            <w:r>
              <w:rPr>
                <w:rFonts w:cs="微软雅黑" w:asciiTheme="minorEastAsia" w:hAnsiTheme="minorEastAsia" w:eastAsiaTheme="minorEastAsia"/>
                <w:color w:val="000000"/>
                <w:sz w:val="24"/>
                <w:szCs w:val="24"/>
              </w:rPr>
              <w:t>款条件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应付确认</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应付开票核销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应付付款核销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应付转销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期末处理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出纳管理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出纳管理系统为企业出纳提供管理工具，管理企业资金的收支业务，通过业务流程、 权限、盘点作业、账表等保证企业资金收支业务的准确执行，确保资金安全。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银行账号</w:t>
            </w:r>
            <w:r>
              <w:rPr>
                <w:rFonts w:hint="eastAsia" w:cs="微软雅黑" w:asciiTheme="minorEastAsia" w:hAnsiTheme="minorEastAsia" w:eastAsiaTheme="minorEastAsia"/>
                <w:color w:val="000000"/>
                <w:sz w:val="24"/>
                <w:szCs w:val="24"/>
              </w:rPr>
              <w:t>管理、</w:t>
            </w:r>
            <w:r>
              <w:rPr>
                <w:rFonts w:cs="微软雅黑" w:asciiTheme="minorEastAsia" w:hAnsiTheme="minorEastAsia" w:eastAsiaTheme="minorEastAsia"/>
                <w:color w:val="000000"/>
                <w:sz w:val="24"/>
                <w:szCs w:val="24"/>
              </w:rPr>
              <w:t>内部账户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收付款用途</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现金账号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付款申请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日常业务处理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现金盘点</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银行存款对账</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期末处理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日记账</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费用管理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费用管理、人人报销系统，面向企业全员以及财务报销人员，提供完整的费用报销流 程，支持从费用申请、借款到费用报销、退款，以及费用二次分配与移转业务。与出纳、应付系统无缝集成，精细化的个人往来管理，帮助企业费用合理统筹，防止不必要的浪费和支出。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费用申请单列表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费用报销列表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费用移转单列表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核销管理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期末处理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存货核算</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hint="eastAsia" w:cs="微软雅黑" w:asciiTheme="minorEastAsia" w:hAnsiTheme="minorEastAsia" w:eastAsiaTheme="minorEastAsia"/>
                <w:color w:val="000000"/>
                <w:sz w:val="24"/>
                <w:szCs w:val="24"/>
              </w:rPr>
              <w:t>存货核算规则、</w:t>
            </w:r>
            <w:r>
              <w:rPr>
                <w:rFonts w:cs="微软雅黑" w:asciiTheme="minorEastAsia" w:hAnsiTheme="minorEastAsia" w:eastAsiaTheme="minorEastAsia"/>
                <w:color w:val="000000"/>
                <w:sz w:val="24"/>
                <w:szCs w:val="24"/>
              </w:rPr>
              <w:t>入库核算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出库核算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定时核算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其他存货核算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成本调整</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即时成本</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期末处理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业务云巡检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成本监控</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存货跌价准备计提</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成本管理工作台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产品成本核算</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分配标准设置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分配标准值维护</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产量归集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费用归集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产品成本核算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固定资产</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固定资产模块管理的业务范围包括：从资产的申请、采购、收货、领用、资产建卡、 资产调拨、资产借用、资产处置、计提折旧、资产盘点、账务处理等全生命周期的资产的 实物和价值管理</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应用资产管理</w:t>
            </w:r>
            <w:r>
              <w:rPr>
                <w:rFonts w:hint="eastAsia" w:cs="微软雅黑" w:asciiTheme="minorEastAsia" w:hAnsiTheme="minorEastAsia" w:eastAsiaTheme="minorEastAsia"/>
                <w:color w:val="000000"/>
                <w:sz w:val="24"/>
                <w:szCs w:val="24"/>
              </w:rPr>
              <w:t>资料设置、</w:t>
            </w:r>
            <w:r>
              <w:rPr>
                <w:rFonts w:cs="微软雅黑" w:asciiTheme="minorEastAsia" w:hAnsiTheme="minorEastAsia" w:eastAsiaTheme="minorEastAsia"/>
                <w:color w:val="000000"/>
                <w:sz w:val="24"/>
                <w:szCs w:val="24"/>
              </w:rPr>
              <w:t>资产申请单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资产卡片</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资产处置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资产变更</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资产借用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资产调拨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资产领用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计提折旧</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资产盘点</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发票管理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税务机关对生产经营单位和个人在经营活动中所开具的商品销售和营业收 入凭证进行的管理。一般是企事业单位财务收支的法定凭证和会计核算的原始凭据。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采购发票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销售发票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金税开票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智能收票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认证管理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合并报表</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合并报表系统，基于会计核算体系，帮助集团企业构建和规范对外合并财务报告和对 内管理报告体系，简单、快速地完成各级子公司个别数的采集和调整、内部会计事项的自 动抵消、多汇报口径合并报表的并行出具。全面满足企业法人组织架构、责任中心考核架 构等多种维度、多种合并方式的报表合并要求，及时、真实、准确地反映集团整体的运营 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合并准备</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折算准备</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报表模板</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合并控制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合并报表数据授权</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上报报表进度看板</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资金管理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资金管理系统帮助企业建立资金集中管理和资金集中监控的平台，实现账户集中管控 和实时监控，并实现收支两条线的资金管理模式。通过资金收支两条线管理，加强对下属 公司资金的监控，盘活企业存量资金，提高资金使用效率和使用效果，并降低资金运作成 本和风险，保证资金安全</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银行账号管理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内部账户管理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基准利率</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结息方案</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计息对象</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资金上划</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资金下拨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收款结算单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付款结算单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联动支付单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内部活期计息</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应收票据控制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银行信贷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报表分析</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支持结算中心统支统收模式</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支持收付组织下开设的内部账户计息</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网上银行</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网上银行系统实现企业与银行的直联，支持企业通过金蝶云星空网上银行系统直接完 成与银行网银系统的所有提交以及查询动作。也就是说，企业可以在金蝶云星空系统中直 接将审核后的付款业务传递给银行，进行付款，同时也可以实时下载银行的交易明细、电 子对账单，以及查询银行账户余额</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日常业务处理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网银查询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提交银行</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电子回单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电子票据</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预算管理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hint="eastAsia" w:cs="微软雅黑" w:asciiTheme="minorEastAsia" w:hAnsiTheme="minorEastAsia" w:eastAsiaTheme="minorEastAsia"/>
                <w:color w:val="000000"/>
                <w:sz w:val="24"/>
                <w:szCs w:val="24"/>
              </w:rPr>
              <w:t>实现企业费用、资金、自定义预算控制，以多维预算为根本，支持任意基础资料、辅助资料为预算维度，精准进行预算编制、控制和分析。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制造云</w:t>
            </w: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工程数据管理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工程数据管理包括物料清单（BOM）、工艺路线、工作日历、物料替代等基本数据，这 些数据是进行计划管理、生产控制的应用基础。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物料清单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物料清单查询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BOM 树形维护</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BOM 批量维护</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物料替代</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产品配置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产品 BOM 分配</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工程变更</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模型配置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工作日历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工艺路线</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生产线相关基础数据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柔性生产相关基础数据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云巡检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BOM 修改日志查询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生产管理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金蝶云星空生产管理以生产订单为主线，实现了生产管理的核心业务流程，包括：生 产订单管理（创建、审核、下达、结案等）、生产用料清单管理、领退补料管理、完工汇 报管理、生产入库管理、生产订单的变更管理等。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生产订单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生产用料清单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生产领料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生产退料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生产补料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生产订单排产</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生产备料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生产齐套分析</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生产发料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倒冲领料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生产挪料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生产汇报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生产入库</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生产退库</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用料清单变更</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差异分摊</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参数设置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生产月末在制转移</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生产日排产</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计划管理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计划方案为 MRP 计算提供基础参数设置，通过建立计划方案以适应不同企业的计划体 系。MRP 计算根据选择的计划方案确定需求和供给单据的范围、净需求平衡公式、物料预留释放的程度。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计划方案、MRP 计算及预留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计划运算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计划订单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制造策略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订货策略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预测单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多组织预测冲销</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组织间需求单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手工预留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计划员工作台</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物料供需状态</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订单级联调整</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计划运算向导</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批量计划运算向导</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参数设置</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供应链云</w:t>
            </w: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采购管理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采购管理系统是通过采购申请、采购订货、采购收料入库、采购退料等功能综合运用 的管理系统，对采购业务全过程进行有效的控制和跟踪，实现完善的企业采购业务管理。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采购基础</w:t>
            </w:r>
            <w:r>
              <w:rPr>
                <w:rFonts w:hint="eastAsia" w:cs="微软雅黑" w:asciiTheme="minorEastAsia" w:hAnsiTheme="minorEastAsia" w:eastAsiaTheme="minorEastAsia"/>
                <w:color w:val="000000"/>
                <w:sz w:val="24"/>
                <w:szCs w:val="24"/>
              </w:rPr>
              <w:t>资料设置、</w:t>
            </w:r>
            <w:r>
              <w:rPr>
                <w:rFonts w:cs="微软雅黑" w:asciiTheme="minorEastAsia" w:hAnsiTheme="minorEastAsia" w:eastAsiaTheme="minorEastAsia"/>
                <w:color w:val="000000"/>
                <w:sz w:val="24"/>
                <w:szCs w:val="24"/>
              </w:rPr>
              <w:t>采购申请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价格管理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折扣管理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采购订单管理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采购收料管理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采购退料管理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采购报表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VMI 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智能采购</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销售管理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销售管理系统，是对销售报价、销售订货、仓库发货、销售退货处理、 客户管理、价格及折扣管理、订单管理、信用管理等功能综合运用的管理系统，通过对销 售全过程进行有效控制和跟踪，实现缩短产品交货期、降低成本、提升企业经济效益的目标。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3"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销售基础资料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销售价格管理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销售折扣管理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可销控制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锁库和预留</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可发量管理和控制</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发货控制和管理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模拟报价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销售报价管理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销售订单管理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销售发货管理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销售出库管理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销售退货管理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寄售业务处理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库存管理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库存管理系统，通过提供采购、销售、生产经营过程中发生的出入库业务管理，提供 库存在库业务管理，提供精细化的批号、有效期、序列号管理，帮助企业降低库存成本， 提高服务满意度。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库存基础元素</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启用库存管理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库存初始化</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库存调拨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组装拆卸</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受托加工材料入库</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其他出入库</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库存调整</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盘点</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批号管理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保质期管理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序列号管理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辅助属性</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计划跟踪号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辅单位</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即时库存查询</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库存锁库/解锁</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关账处理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监控信息</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库存调整功能</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库存数据表管理</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库存工作台</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库存云巡检</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平台特性</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信息中心</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hint="eastAsia" w:cs="微软雅黑" w:asciiTheme="minorEastAsia" w:hAnsiTheme="minorEastAsia" w:eastAsiaTheme="minorEastAsia"/>
                <w:color w:val="000000"/>
                <w:sz w:val="24"/>
                <w:szCs w:val="24"/>
              </w:rPr>
              <w:t>任务、消息、工作流、业务流程查看及信息中心设置。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工作流</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hint="eastAsia" w:cs="微软雅黑" w:asciiTheme="minorEastAsia" w:hAnsiTheme="minorEastAsia" w:eastAsiaTheme="minorEastAsia"/>
                <w:color w:val="000000"/>
                <w:sz w:val="24"/>
                <w:szCs w:val="24"/>
              </w:rPr>
              <w:t>工作流平台提供了工作流的设计、管理、运行、监控、流程处理门户以及流程报表功能。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套打平台</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BOS 提供了独立的套打模板设计平台，用户可以根据自己的打印需求设计合适的套打模板。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万能报表平台</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金蝶云星空万能报表中的单据类报表，可以像单据的套打模板设置一样，与单据建立 关联后在单据界面完成单据的“标准打印”</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业务流程</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 xml:space="preserve">工作流平台提供了工作流的设计、管理、运行、监控、流程处理门户以及流程报表功能。业务流程的模型设计和模板配置分别在业务流程设计中心、业务流程配置中心完成，并支持流程模型的多版本管理和应用。业务流程管理中心可以对业务流程实例进行管理，并支持业务流程实例在运行过程中进行版本切换。 </w:t>
            </w:r>
          </w:p>
          <w:p>
            <w:pPr>
              <w:jc w:val="left"/>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 xml:space="preserve">自定义的单据转换规则、反写规则、业务流程模型支持部署功能。 业务流程中可以引用产品预置的或者用户自定义的单据转换规则和反写规则，在流程 运行时可以使流程按指定规则进行单据转换，并能进行任意级次的反写。 </w:t>
            </w:r>
          </w:p>
          <w:p>
            <w:pPr>
              <w:jc w:val="left"/>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通过业务流程平台可以实现企业业务处理流程的全程跟踪，帮助业务人员实时了解到 业务流程走到哪些环节，并展示各环节对应的关联数据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业务监控平台</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业务监控&amp;预警包括业务监控和风险预警。通过此平台可实现监控方案定时执行和风险 预警及时提醒，并根据方案设置发送消息给接收人，实现对企业管理中采购、到货、付款、 销售、发货、收款、库存管理等各主要业务环节的监控和风险预警。并支持移动端应用。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业务监控</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业务风险预警&amp;提醒</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多组织特性</w:t>
            </w:r>
          </w:p>
        </w:tc>
        <w:tc>
          <w:tcPr>
            <w:tcW w:w="1276" w:type="dxa"/>
            <w:shd w:val="clear" w:color="auto" w:fill="auto"/>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采购管理</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hint="eastAsia" w:cs="微软雅黑" w:asciiTheme="minorEastAsia" w:hAnsiTheme="minorEastAsia" w:eastAsiaTheme="minorEastAsia"/>
                <w:color w:val="000000"/>
                <w:sz w:val="24"/>
                <w:szCs w:val="24"/>
              </w:rPr>
              <w:t>集中采购模式，体现了集团批量采购优势，集团统一谈价，有效降低采购成本，实现了集团对重要物料的统一管控。集中采购有多种业务模式，最常用的模式有：集中采购分开收货集中结算、集中采购分开收货、分开结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销售管理</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hint="eastAsia" w:cs="微软雅黑" w:asciiTheme="minorEastAsia" w:hAnsiTheme="minorEastAsia" w:eastAsiaTheme="minorEastAsia"/>
                <w:color w:val="000000"/>
                <w:sz w:val="24"/>
                <w:szCs w:val="24"/>
              </w:rPr>
              <w:t>集中销售模式，更好的利用集团客户资源，实现了集团对销售的统一管控，提高了资源利用效率。集中销售有多种业务模式，最常用的模式有：集中销售分开发货集中结算、集中销售分开发货、分开结算等。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restart"/>
            <w:shd w:val="clear" w:color="auto" w:fill="auto"/>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组织间结算</w:t>
            </w:r>
          </w:p>
        </w:tc>
        <w:tc>
          <w:tcPr>
            <w:tcW w:w="6520" w:type="dxa"/>
            <w:shd w:val="clear" w:color="auto" w:fill="auto"/>
          </w:tcPr>
          <w:p>
            <w:pPr>
              <w:jc w:val="left"/>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组织间交易 结算，就是涉及 2 个内部组织之间内部发生具有物权、资金、服务等转移的的业务，而所 发生的组织之间采取独立核算时，那么这种业务发生后，需要在发生业务的组织之间进行 内部结算。组织间结算就是解决内部组织发生业务后的内部结算的解决方案。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组织间结算价目表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组织间结算关系</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结算中间结算展示</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组织间结算清单</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自动结算</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报表</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可配置的结算配置平台</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移动应用</w:t>
            </w: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APP</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1、实现销售订单审批、采购付款审批、费用报销等审批。</w:t>
            </w:r>
            <w:r>
              <w:rPr>
                <w:rFonts w:hint="eastAsia" w:cs="微软雅黑" w:asciiTheme="minorEastAsia" w:hAnsiTheme="minorEastAsia" w:eastAsiaTheme="minorEastAsia"/>
                <w:color w:val="000000"/>
                <w:sz w:val="24"/>
                <w:szCs w:val="24"/>
              </w:rPr>
              <w:br w:type="textWrapping"/>
            </w:r>
            <w:r>
              <w:rPr>
                <w:rFonts w:hint="eastAsia" w:cs="微软雅黑" w:asciiTheme="minorEastAsia" w:hAnsiTheme="minorEastAsia" w:eastAsiaTheme="minorEastAsia"/>
                <w:color w:val="000000"/>
                <w:sz w:val="24"/>
                <w:szCs w:val="24"/>
              </w:rPr>
              <w:t>2、内部、外之间进行业务协作。</w:t>
            </w:r>
            <w:r>
              <w:rPr>
                <w:rFonts w:hint="eastAsia" w:cs="微软雅黑" w:asciiTheme="minorEastAsia" w:hAnsiTheme="minorEastAsia" w:eastAsiaTheme="minorEastAsia"/>
                <w:color w:val="000000"/>
                <w:sz w:val="24"/>
                <w:szCs w:val="24"/>
              </w:rPr>
              <w:br w:type="textWrapping"/>
            </w:r>
            <w:r>
              <w:rPr>
                <w:rFonts w:hint="eastAsia" w:cs="微软雅黑" w:asciiTheme="minorEastAsia" w:hAnsiTheme="minorEastAsia" w:eastAsiaTheme="minorEastAsia"/>
                <w:color w:val="000000"/>
                <w:sz w:val="24"/>
                <w:szCs w:val="24"/>
              </w:rPr>
              <w:t>3、可以和企业内部ERP等系统的移动应用集成，将企业所有信息汇聚到移动办公平台，通过该平台实现和企业内部ERP系统集成应用，实现移动数据查询、移动报表推送等业务。</w:t>
            </w:r>
            <w:r>
              <w:rPr>
                <w:rFonts w:hint="eastAsia" w:cs="微软雅黑" w:asciiTheme="minorEastAsia" w:hAnsiTheme="minorEastAsia" w:eastAsiaTheme="minorEastAsia"/>
                <w:color w:val="000000"/>
                <w:sz w:val="24"/>
                <w:szCs w:val="24"/>
              </w:rPr>
              <w:br w:type="textWrapping"/>
            </w:r>
            <w:r>
              <w:rPr>
                <w:rFonts w:hint="eastAsia" w:cs="微软雅黑" w:asciiTheme="minorEastAsia" w:hAnsiTheme="minorEastAsia" w:eastAsiaTheme="minorEastAsia"/>
                <w:color w:val="000000"/>
                <w:sz w:val="24"/>
                <w:szCs w:val="24"/>
              </w:rPr>
              <w:t>4、全面连接企业的业务系统和场景，从供应链、智能制造到研发创新，连通企业内部员工、上下游伙伴以及客户。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单据工作流跳转手机a</w:t>
            </w:r>
            <w:r>
              <w:rPr>
                <w:rFonts w:cs="微软雅黑" w:asciiTheme="minorEastAsia" w:hAnsiTheme="minorEastAsia" w:eastAsiaTheme="minorEastAsia"/>
                <w:color w:val="000000"/>
                <w:sz w:val="24"/>
                <w:szCs w:val="24"/>
              </w:rPr>
              <w:t>pp</w:t>
            </w:r>
            <w:r>
              <w:rPr>
                <w:rFonts w:hint="eastAsia" w:cs="微软雅黑" w:asciiTheme="minorEastAsia" w:hAnsiTheme="minorEastAsia" w:eastAsiaTheme="minorEastAsia"/>
                <w:color w:val="000000"/>
                <w:sz w:val="24"/>
                <w:szCs w:val="24"/>
              </w:rPr>
              <w:t>进行审批，</w:t>
            </w:r>
            <w:r>
              <w:rPr>
                <w:rFonts w:cs="微软雅黑" w:asciiTheme="minorEastAsia" w:hAnsiTheme="minorEastAsia" w:eastAsiaTheme="minorEastAsia"/>
                <w:color w:val="000000"/>
                <w:sz w:val="24"/>
                <w:szCs w:val="24"/>
              </w:rPr>
              <w:t>待办流程的审批、决策和转交，提供流程单据、审批意见和附件查看，支持在办流程、已办流程的跟踪查询</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s-HR 集成</w:t>
            </w: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s-HR 集成</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s-HR 集成主要用于购买了金蝶云星空与 s-HR，并需要集成的客户。通过 s-HR 集成， 可以实现 s-HR 相关基础数据、薪资数据发放结果的数据同步，从 s-HR 定时自动同步到金 蝶云星空，进而保持组织部门、岗位、员工基础资料的统一，以及人力资源薪酬管理人员 完成薪资核算后，可以快速将薪资核算结果结转至财务总账系统，最终生成相应的财务费 用凭证及其他相关业务凭证。保障整个金蝶云星空业务系统的信息流连贯通畅，及全程的 自动化处理。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基础资料初始化配置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部门基础资料同步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岗位基础资料同步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员工基础资料同步</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薪资发放结果同步</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云之家集成</w:t>
            </w:r>
          </w:p>
        </w:tc>
        <w:tc>
          <w:tcPr>
            <w:tcW w:w="1276"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cs="微软雅黑" w:asciiTheme="minorEastAsia" w:hAnsiTheme="minorEastAsia" w:eastAsiaTheme="minorEastAsia"/>
                <w:color w:val="000000"/>
                <w:sz w:val="24"/>
                <w:szCs w:val="24"/>
              </w:rPr>
              <w:t>云之家集成</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sz w:val="24"/>
                <w:szCs w:val="24"/>
                <w:u w:val="single"/>
              </w:rPr>
              <w:t>功能描述：</w:t>
            </w:r>
            <w:r>
              <w:rPr>
                <w:rFonts w:cs="微软雅黑" w:asciiTheme="minorEastAsia" w:hAnsiTheme="minorEastAsia" w:eastAsiaTheme="minorEastAsia"/>
                <w:color w:val="000000"/>
                <w:sz w:val="24"/>
                <w:szCs w:val="24"/>
              </w:rPr>
              <w:t>金蝶云移动轻应用使得客户能够充分利用碎片化时间移动办公，加快企业的经营决策和信息流转，给企业带来很大的效益。越来越多的金蝶云用户非常乐意 使用云之家轻应用。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b/>
                <w:bCs/>
                <w:i/>
                <w:iCs/>
                <w:color w:val="000000"/>
                <w:sz w:val="24"/>
                <w:szCs w:val="24"/>
                <w:u w:val="single"/>
              </w:rPr>
              <w:t>主要功能：</w:t>
            </w:r>
            <w:r>
              <w:rPr>
                <w:rFonts w:cs="微软雅黑" w:asciiTheme="minorEastAsia" w:hAnsiTheme="minorEastAsia" w:eastAsiaTheme="minorEastAsia"/>
                <w:color w:val="000000"/>
                <w:sz w:val="24"/>
                <w:szCs w:val="24"/>
              </w:rPr>
              <w:t>云之家集成配置</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同步云之家用户</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用户映射关系</w:t>
            </w: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同步用户到云之家</w:t>
            </w:r>
            <w:r>
              <w:rPr>
                <w:rFonts w:hint="eastAsia" w:cs="微软雅黑"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接口方式</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API中心</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金蝶云星空</w:t>
            </w:r>
            <w:r>
              <w:rPr>
                <w:rFonts w:cs="微软雅黑" w:asciiTheme="minorEastAsia" w:hAnsiTheme="minorEastAsia" w:eastAsiaTheme="minorEastAsia"/>
                <w:color w:val="000000"/>
                <w:sz w:val="24"/>
                <w:szCs w:val="24"/>
              </w:rPr>
              <w:t xml:space="preserve"> API 中心提供了 API 接口文档、在线测试、操作指南和 SDK 下载，赋能开</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发者快速入门，实现一站式的第三方集成便捷体验。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金蝶云•星空的</w:t>
            </w:r>
            <w:r>
              <w:rPr>
                <w:rFonts w:cs="微软雅黑" w:asciiTheme="minorEastAsia" w:hAnsiTheme="minorEastAsia" w:eastAsiaTheme="minorEastAsia"/>
                <w:color w:val="000000"/>
                <w:sz w:val="24"/>
                <w:szCs w:val="24"/>
              </w:rPr>
              <w:t>WebAPI是一种轻量级的、可维护的、可伸缩的 Web 服务。采用HTTP+JSON，也就是用RESTful的方式来开发。使用.NET Framework 4.0为开发平台，源代码使用C#编写。整个框架由三个组装件组成。</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1）</w:t>
            </w:r>
            <w:r>
              <w:rPr>
                <w:rFonts w:cs="微软雅黑" w:asciiTheme="minorEastAsia" w:hAnsiTheme="minorEastAsia" w:eastAsiaTheme="minorEastAsia"/>
                <w:color w:val="000000"/>
                <w:sz w:val="24"/>
                <w:szCs w:val="24"/>
              </w:rPr>
              <w:tab/>
            </w:r>
            <w:r>
              <w:rPr>
                <w:rFonts w:cs="微软雅黑" w:asciiTheme="minorEastAsia" w:hAnsiTheme="minorEastAsia" w:eastAsiaTheme="minorEastAsia"/>
                <w:color w:val="000000"/>
                <w:sz w:val="24"/>
                <w:szCs w:val="24"/>
              </w:rPr>
              <w:t>Kingdee.BOS.WebApi.FormService.dll</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此组装件包含</w:t>
            </w:r>
            <w:r>
              <w:rPr>
                <w:rFonts w:cs="微软雅黑" w:asciiTheme="minorEastAsia" w:hAnsiTheme="minorEastAsia" w:eastAsiaTheme="minorEastAsia"/>
                <w:color w:val="000000"/>
                <w:sz w:val="24"/>
                <w:szCs w:val="24"/>
              </w:rPr>
              <w:t>WebAPI主要接口的功能实现。部署在应用层服务器。</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2）</w:t>
            </w:r>
            <w:r>
              <w:rPr>
                <w:rFonts w:cs="微软雅黑" w:asciiTheme="minorEastAsia" w:hAnsiTheme="minorEastAsia" w:eastAsiaTheme="minorEastAsia"/>
                <w:color w:val="000000"/>
                <w:sz w:val="24"/>
                <w:szCs w:val="24"/>
              </w:rPr>
              <w:tab/>
            </w:r>
            <w:r>
              <w:rPr>
                <w:rFonts w:cs="微软雅黑" w:asciiTheme="minorEastAsia" w:hAnsiTheme="minorEastAsia" w:eastAsiaTheme="minorEastAsia"/>
                <w:color w:val="000000"/>
                <w:sz w:val="24"/>
                <w:szCs w:val="24"/>
              </w:rPr>
              <w:t>Kingdee.BOS.WebApi.ServicesStub.dll</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此组装件主要包含</w:t>
            </w:r>
            <w:r>
              <w:rPr>
                <w:rFonts w:cs="微软雅黑" w:asciiTheme="minorEastAsia" w:hAnsiTheme="minorEastAsia" w:eastAsiaTheme="minorEastAsia"/>
                <w:color w:val="000000"/>
                <w:sz w:val="24"/>
                <w:szCs w:val="24"/>
              </w:rPr>
              <w:t>WebAPI接口定义，扩展接口定义以及登陆验证接口。部署在应用层服务器。</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w:t>
            </w:r>
            <w:r>
              <w:rPr>
                <w:rFonts w:cs="微软雅黑" w:asciiTheme="minorEastAsia" w:hAnsiTheme="minorEastAsia" w:eastAsiaTheme="minorEastAsia"/>
                <w:color w:val="000000"/>
                <w:sz w:val="24"/>
                <w:szCs w:val="24"/>
              </w:rPr>
              <w:t>3）</w:t>
            </w:r>
            <w:r>
              <w:rPr>
                <w:rFonts w:cs="微软雅黑" w:asciiTheme="minorEastAsia" w:hAnsiTheme="minorEastAsia" w:eastAsiaTheme="minorEastAsia"/>
                <w:color w:val="000000"/>
                <w:sz w:val="24"/>
                <w:szCs w:val="24"/>
              </w:rPr>
              <w:tab/>
            </w:r>
            <w:r>
              <w:rPr>
                <w:rFonts w:cs="微软雅黑" w:asciiTheme="minorEastAsia" w:hAnsiTheme="minorEastAsia" w:eastAsiaTheme="minorEastAsia"/>
                <w:color w:val="000000"/>
                <w:sz w:val="24"/>
                <w:szCs w:val="24"/>
              </w:rPr>
              <w:t>Kingdee.BOS.WebApi.Client.dll</w:t>
            </w:r>
          </w:p>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此组装件为</w:t>
            </w:r>
            <w:r>
              <w:rPr>
                <w:rFonts w:cs="微软雅黑" w:asciiTheme="minorEastAsia" w:hAnsiTheme="minorEastAsia" w:eastAsiaTheme="minorEastAsia"/>
                <w:color w:val="000000"/>
                <w:sz w:val="24"/>
                <w:szCs w:val="24"/>
              </w:rPr>
              <w:t>WebAPI的客户端组件，封装了一些在异构系统客户端访问WebAPI的方法，适用于C#程序调用。由于它应用于异构系统客户端，所以此组装件需要拷贝到异构系统客户端环境中。非C#程序调用可以不用拷贝。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s-HR组织人事</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s-HR组织管理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行政组织管理可实现行政组织和职位的初始化导入、日常维护、行政组织调整，职务体系的搭建，多维编制管理、编制需求申请的发起等。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s-HR员工管理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员工人数初始化、员工信息日常维护、员工全生命周期管理、员工人事事务处理、合同管理及员工明细查询和统计分析报表。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s-HR薪酬福利</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s-HR薪酬核算</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薪酬核算包含了员工薪酬档案管理、员工社保档案管理、员工薪酬向导式核算、变动员工薪酬精准核算、发放审批、银行代发、薪酬成本分摊，薪酬费用分配提交财务生成凭证，套打打印，员工自助查询工资条，薪酬报表查询和薪酬统计分析报表、社保及住房公积金缴纳计算和报表查询等功能，实现各部门、车间自行录入提交、审批计件工资相关数据等功能，并在技术方案里面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restart"/>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s-HR假勤管理</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s-HR假期管理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假期管理可以独立于考勤管理使用，用于管理员工的假期额度、请休假、假期汇总转薪资等。员工的假期数据也可以供考勤管理使用，考勤计算时冲销员工的异常。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vMerge w:val="continue"/>
            <w:shd w:val="clear" w:color="auto" w:fill="auto"/>
            <w:vAlign w:val="center"/>
          </w:tcPr>
          <w:p>
            <w:pPr>
              <w:jc w:val="center"/>
              <w:textAlignment w:val="center"/>
              <w:rPr>
                <w:rFonts w:cs="微软雅黑" w:asciiTheme="minorEastAsia" w:hAnsiTheme="minorEastAsia" w:eastAsiaTheme="minorEastAsia"/>
                <w:color w:val="000000"/>
                <w:sz w:val="24"/>
                <w:szCs w:val="24"/>
              </w:rPr>
            </w:pP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s-HR考勤管理</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根据企业的考勤管理制度，通过分层管理、全员参与、随时随地考勤的考勤管理模式，提供灵活的员工排班，计算员工的出勤情况，并将结果同步到薪酬系统，为员工薪酬计算提供依据。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s-HR系统特性</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s-HR报表查询</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包含报表设计器及使用报表设计器设计的人事报表、薪酬报表、考勤报表、招聘报表。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271"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数据迁移</w:t>
            </w:r>
          </w:p>
        </w:tc>
        <w:tc>
          <w:tcPr>
            <w:tcW w:w="1276"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历史数据迁移</w:t>
            </w:r>
          </w:p>
        </w:tc>
        <w:tc>
          <w:tcPr>
            <w:tcW w:w="6520" w:type="dxa"/>
            <w:shd w:val="clear" w:color="auto" w:fill="auto"/>
          </w:tcPr>
          <w:p>
            <w:pPr>
              <w:jc w:val="left"/>
              <w:textAlignment w:val="top"/>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招标单位原系统数据完整迁移至新系统，迁移后实现在新系统中做历史数据查询，审计等操作；</w:t>
            </w:r>
          </w:p>
        </w:tc>
      </w:tr>
    </w:tbl>
    <w:p/>
    <w:p>
      <w:pPr>
        <w:pStyle w:val="2"/>
        <w:numPr>
          <w:ilvl w:val="0"/>
          <w:numId w:val="3"/>
        </w:numPr>
        <w:ind w:firstLine="480"/>
      </w:pPr>
      <w:r>
        <w:rPr>
          <w:rFonts w:hint="eastAsia"/>
        </w:rPr>
        <w:t>系统用户数需求说明</w:t>
      </w:r>
    </w:p>
    <w:tbl>
      <w:tblPr>
        <w:tblStyle w:val="53"/>
        <w:tblW w:w="9045"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05"/>
        <w:gridCol w:w="1635"/>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trPr>
        <w:tc>
          <w:tcPr>
            <w:tcW w:w="2505" w:type="dxa"/>
            <w:shd w:val="clear" w:color="auto" w:fill="FFFFFF" w:themeFill="background1"/>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分组</w:t>
            </w:r>
          </w:p>
        </w:tc>
        <w:tc>
          <w:tcPr>
            <w:tcW w:w="1635" w:type="dxa"/>
            <w:shd w:val="clear" w:color="auto" w:fill="FFFFFF" w:themeFill="background1"/>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 xml:space="preserve"> 用户数 </w:t>
            </w:r>
          </w:p>
        </w:tc>
        <w:tc>
          <w:tcPr>
            <w:tcW w:w="4905" w:type="dxa"/>
            <w:shd w:val="clear" w:color="auto" w:fill="FFFFFF" w:themeFill="background1"/>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trPr>
        <w:tc>
          <w:tcPr>
            <w:tcW w:w="2505"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财务</w:t>
            </w:r>
          </w:p>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供应链</w:t>
            </w:r>
          </w:p>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生产制造</w:t>
            </w:r>
          </w:p>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预算管理</w:t>
            </w:r>
          </w:p>
        </w:tc>
        <w:tc>
          <w:tcPr>
            <w:tcW w:w="1635"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150</w:t>
            </w:r>
          </w:p>
        </w:tc>
        <w:tc>
          <w:tcPr>
            <w:tcW w:w="4905"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ascii="微软雅黑" w:hAnsi="微软雅黑" w:eastAsia="微软雅黑" w:cs="宋体"/>
                <w:b/>
                <w:bCs/>
                <w:color w:val="000000"/>
                <w:kern w:val="0"/>
                <w:sz w:val="20"/>
                <w:szCs w:val="22"/>
              </w:rPr>
              <w:t>新增用户数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9" w:hRule="atLeast"/>
        </w:trPr>
        <w:tc>
          <w:tcPr>
            <w:tcW w:w="2505"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HR系统</w:t>
            </w:r>
          </w:p>
        </w:tc>
        <w:tc>
          <w:tcPr>
            <w:tcW w:w="1635"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cs="微软雅黑" w:asciiTheme="minorEastAsia" w:hAnsiTheme="minorEastAsia" w:eastAsiaTheme="minorEastAsia"/>
                <w:color w:val="000000"/>
                <w:sz w:val="24"/>
                <w:szCs w:val="24"/>
              </w:rPr>
              <w:t>50</w:t>
            </w:r>
          </w:p>
        </w:tc>
        <w:tc>
          <w:tcPr>
            <w:tcW w:w="4905" w:type="dxa"/>
            <w:shd w:val="clear" w:color="auto" w:fill="auto"/>
            <w:vAlign w:val="center"/>
          </w:tcPr>
          <w:p>
            <w:pPr>
              <w:jc w:val="center"/>
              <w:textAlignment w:val="center"/>
              <w:rPr>
                <w:rFonts w:cs="微软雅黑" w:asciiTheme="minorEastAsia" w:hAnsiTheme="minorEastAsia" w:eastAsiaTheme="minorEastAsia"/>
                <w:color w:val="000000"/>
                <w:sz w:val="24"/>
                <w:szCs w:val="24"/>
              </w:rPr>
            </w:pPr>
            <w:r>
              <w:rPr>
                <w:rFonts w:hint="eastAsia" w:ascii="微软雅黑" w:hAnsi="微软雅黑" w:eastAsia="微软雅黑" w:cs="宋体"/>
                <w:b/>
                <w:bCs/>
                <w:color w:val="000000"/>
                <w:kern w:val="0"/>
                <w:sz w:val="20"/>
                <w:szCs w:val="22"/>
              </w:rPr>
              <w:t>新增模块、用户数</w:t>
            </w:r>
          </w:p>
        </w:tc>
      </w:tr>
    </w:tbl>
    <w:p>
      <w:pPr>
        <w:pStyle w:val="2"/>
        <w:ind w:firstLine="480"/>
      </w:pPr>
    </w:p>
    <w:p>
      <w:pPr>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themeColor="text1"/>
          <w:kern w:val="0"/>
          <w:sz w:val="24"/>
          <w:szCs w:val="24"/>
          <w:lang w:val="zh-CN"/>
        </w:rPr>
        <w:t>二、</w:t>
      </w:r>
      <w:r>
        <w:rPr>
          <w:rFonts w:hint="eastAsia" w:ascii="宋体" w:hAnsi="宋体" w:cs="宋体"/>
          <w:b/>
          <w:color w:val="000000"/>
          <w:kern w:val="0"/>
          <w:sz w:val="24"/>
          <w:szCs w:val="24"/>
          <w:lang w:val="zh-CN"/>
        </w:rPr>
        <w:t>采购标的需满足的服务标准、期限、效率等要求</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1.服务标准</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（1）</w:t>
      </w:r>
      <w:r>
        <w:rPr>
          <w:rFonts w:hint="eastAsia" w:ascii="宋体" w:hAnsi="宋体" w:cs="宋体"/>
          <w:color w:val="000000" w:themeColor="text1"/>
          <w:kern w:val="0"/>
          <w:sz w:val="24"/>
          <w:szCs w:val="24"/>
          <w:lang w:val="zh-CN"/>
        </w:rPr>
        <w:t>供应商应</w:t>
      </w:r>
      <w:r>
        <w:rPr>
          <w:rFonts w:hint="eastAsia" w:ascii="宋体" w:hAnsi="宋体" w:cs="宋体"/>
          <w:color w:val="000000"/>
          <w:kern w:val="0"/>
          <w:sz w:val="24"/>
          <w:szCs w:val="24"/>
          <w:lang w:val="zh-CN"/>
        </w:rPr>
        <w:t>建立健全的沟通管理机制，确保项目工作正常、良好、有效开展。</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（2）</w:t>
      </w:r>
      <w:r>
        <w:rPr>
          <w:rFonts w:hint="eastAsia" w:ascii="宋体" w:hAnsi="宋体" w:cs="宋体"/>
          <w:color w:val="000000" w:themeColor="text1"/>
          <w:kern w:val="0"/>
          <w:sz w:val="24"/>
          <w:szCs w:val="24"/>
          <w:lang w:val="zh-CN"/>
        </w:rPr>
        <w:t>供应商</w:t>
      </w:r>
      <w:r>
        <w:rPr>
          <w:rFonts w:hint="eastAsia" w:ascii="宋体" w:hAnsi="宋体" w:cs="宋体"/>
          <w:color w:val="000000"/>
          <w:kern w:val="0"/>
          <w:sz w:val="24"/>
          <w:szCs w:val="24"/>
          <w:lang w:val="zh-CN"/>
        </w:rPr>
        <w:t>在实施至验收阶段需提供专业驻场服务，项目整体建设团队规模不少于</w:t>
      </w:r>
      <w:r>
        <w:rPr>
          <w:rFonts w:hint="eastAsia" w:ascii="宋体" w:hAnsi="宋体" w:cs="宋体"/>
          <w:color w:val="000000" w:themeColor="text1"/>
          <w:kern w:val="0"/>
          <w:sz w:val="24"/>
          <w:szCs w:val="24"/>
          <w:lang w:val="zh-CN"/>
        </w:rPr>
        <w:t>5</w:t>
      </w:r>
      <w:r>
        <w:rPr>
          <w:rFonts w:hint="eastAsia" w:ascii="宋体" w:hAnsi="宋体" w:cs="宋体"/>
          <w:color w:val="000000"/>
          <w:kern w:val="0"/>
          <w:sz w:val="24"/>
          <w:szCs w:val="24"/>
          <w:lang w:val="zh-CN"/>
        </w:rPr>
        <w:t>人。驻场服务人员需相对固定，如有变动须提前一个月告知。驻场服务人员上下班时间根据用户现场要求，进出现场要求着装大方整洁，遵守现场工作规范。</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（3）</w:t>
      </w:r>
      <w:r>
        <w:rPr>
          <w:rFonts w:hint="eastAsia" w:ascii="宋体" w:hAnsi="宋体" w:cs="宋体"/>
          <w:color w:val="000000" w:themeColor="text1"/>
          <w:kern w:val="0"/>
          <w:sz w:val="24"/>
          <w:szCs w:val="24"/>
          <w:lang w:val="zh-CN"/>
        </w:rPr>
        <w:t>供应商</w:t>
      </w:r>
      <w:r>
        <w:rPr>
          <w:rFonts w:hint="eastAsia" w:ascii="宋体" w:hAnsi="宋体" w:cs="宋体"/>
          <w:color w:val="000000"/>
          <w:kern w:val="0"/>
          <w:sz w:val="24"/>
          <w:szCs w:val="24"/>
          <w:lang w:val="zh-CN"/>
        </w:rPr>
        <w:t>在项目验收后的免运期内需要提供不少于</w:t>
      </w:r>
      <w:r>
        <w:rPr>
          <w:rFonts w:hint="eastAsia" w:ascii="宋体" w:hAnsi="宋体" w:cs="宋体"/>
          <w:color w:val="000000" w:themeColor="text1"/>
          <w:kern w:val="0"/>
          <w:sz w:val="24"/>
          <w:szCs w:val="24"/>
          <w:lang w:val="zh-CN"/>
        </w:rPr>
        <w:t>1</w:t>
      </w:r>
      <w:r>
        <w:rPr>
          <w:rFonts w:hint="eastAsia" w:ascii="宋体" w:hAnsi="宋体" w:cs="宋体"/>
          <w:color w:val="000000"/>
          <w:kern w:val="0"/>
          <w:sz w:val="24"/>
          <w:szCs w:val="24"/>
          <w:lang w:val="zh-CN"/>
        </w:rPr>
        <w:t>人的5*8运维驻场服务，提供日常系统运维保障工作。驻场服务人员需相对固定，如有变动须提前一个月告知。驻场服务人员上下班时间根据用户现场要求，进出现场要求着装大方整洁，遵守现场工作规范。</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themeColor="text1"/>
          <w:kern w:val="0"/>
          <w:sz w:val="24"/>
          <w:szCs w:val="24"/>
          <w:lang w:val="zh-CN"/>
        </w:rPr>
        <w:t>4</w:t>
      </w:r>
      <w:r>
        <w:rPr>
          <w:rFonts w:hint="eastAsia" w:ascii="宋体" w:hAnsi="宋体" w:cs="宋体"/>
          <w:color w:val="000000"/>
          <w:kern w:val="0"/>
          <w:sz w:val="24"/>
          <w:szCs w:val="24"/>
          <w:lang w:val="zh-CN"/>
        </w:rPr>
        <w:t>）保障平台日常运行，发现故障第一时间响应并处理</w:t>
      </w:r>
      <w:r>
        <w:rPr>
          <w:rFonts w:hint="eastAsia" w:ascii="宋体" w:hAnsi="宋体" w:cs="宋体"/>
          <w:color w:val="000000" w:themeColor="text1"/>
          <w:kern w:val="0"/>
          <w:sz w:val="24"/>
          <w:szCs w:val="24"/>
          <w:lang w:val="zh-CN"/>
        </w:rPr>
        <w:t>。</w:t>
      </w:r>
      <w:r>
        <w:rPr>
          <w:rFonts w:hint="eastAsia" w:ascii="宋体" w:hAnsi="宋体" w:cs="宋体"/>
          <w:color w:val="000000"/>
          <w:kern w:val="0"/>
          <w:sz w:val="24"/>
          <w:szCs w:val="24"/>
          <w:lang w:val="zh-CN"/>
        </w:rPr>
        <w:t>建立故障报告单，对上报故障内容进行记录。若无法短时解决故障需尽快上报甲方，协调相关部门及协作厂商排除故障。</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themeColor="text1"/>
          <w:kern w:val="0"/>
          <w:sz w:val="24"/>
          <w:szCs w:val="24"/>
          <w:lang w:val="zh-CN"/>
        </w:rPr>
        <w:t>5</w:t>
      </w:r>
      <w:r>
        <w:rPr>
          <w:rFonts w:hint="eastAsia" w:ascii="宋体" w:hAnsi="宋体" w:cs="宋体"/>
          <w:color w:val="000000"/>
          <w:kern w:val="0"/>
          <w:sz w:val="24"/>
          <w:szCs w:val="24"/>
          <w:lang w:val="zh-CN"/>
        </w:rPr>
        <w:t>）驻场人员对涉及</w:t>
      </w:r>
      <w:r>
        <w:rPr>
          <w:rFonts w:hint="eastAsia" w:ascii="宋体" w:hAnsi="宋体" w:cs="宋体"/>
          <w:color w:val="000000" w:themeColor="text1"/>
          <w:kern w:val="0"/>
          <w:sz w:val="24"/>
          <w:szCs w:val="24"/>
          <w:lang w:val="zh-CN"/>
        </w:rPr>
        <w:t>内容</w:t>
      </w:r>
      <w:r>
        <w:rPr>
          <w:rFonts w:hint="eastAsia" w:ascii="宋体" w:hAnsi="宋体" w:cs="宋体"/>
          <w:color w:val="000000"/>
          <w:kern w:val="0"/>
          <w:sz w:val="24"/>
          <w:szCs w:val="24"/>
          <w:lang w:val="zh-CN"/>
        </w:rPr>
        <w:t>有保密义务和责任，入场后需单独签署并遵守保密协议。</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2.服务期限</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本项目建设实施服务期限为</w:t>
      </w:r>
      <w:r>
        <w:rPr>
          <w:rFonts w:hint="eastAsia" w:ascii="宋体" w:hAnsi="宋体" w:cs="宋体"/>
          <w:color w:val="000000" w:themeColor="text1"/>
          <w:kern w:val="0"/>
          <w:sz w:val="24"/>
          <w:szCs w:val="24"/>
          <w:lang w:val="zh-CN"/>
        </w:rPr>
        <w:t>1年</w:t>
      </w:r>
      <w:r>
        <w:rPr>
          <w:rFonts w:hint="eastAsia" w:ascii="宋体" w:hAnsi="宋体" w:cs="宋体"/>
          <w:color w:val="000000"/>
          <w:kern w:val="0"/>
          <w:sz w:val="24"/>
          <w:szCs w:val="24"/>
          <w:lang w:val="zh-CN"/>
        </w:rPr>
        <w:t>，在项目验收后提供3年的免费运维。</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3.服务响应时间</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themeColor="text1"/>
          <w:kern w:val="0"/>
          <w:sz w:val="24"/>
          <w:szCs w:val="24"/>
          <w:lang w:val="zh-CN"/>
        </w:rPr>
        <w:t>供应商</w:t>
      </w:r>
      <w:r>
        <w:rPr>
          <w:rFonts w:hint="eastAsia" w:ascii="宋体" w:hAnsi="宋体" w:cs="宋体"/>
          <w:color w:val="000000"/>
          <w:kern w:val="0"/>
          <w:sz w:val="24"/>
          <w:szCs w:val="24"/>
          <w:lang w:val="zh-CN"/>
        </w:rPr>
        <w:t>提供7*24小时应急支撑响应，并承诺在接到服务请求后，30分钟内响应，1小时内到达现场处理问题，4小时内恢复系统，提供故障报告。</w:t>
      </w:r>
    </w:p>
    <w:p>
      <w:pPr>
        <w:tabs>
          <w:tab w:val="left" w:pos="0"/>
        </w:tabs>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themeColor="text1"/>
          <w:kern w:val="0"/>
          <w:sz w:val="24"/>
          <w:szCs w:val="24"/>
          <w:lang w:val="zh-CN"/>
        </w:rPr>
        <w:t>三、</w:t>
      </w:r>
      <w:r>
        <w:rPr>
          <w:rFonts w:hint="eastAsia" w:ascii="宋体" w:hAnsi="宋体" w:cs="宋体"/>
          <w:b/>
          <w:color w:val="000000"/>
          <w:kern w:val="0"/>
          <w:sz w:val="24"/>
          <w:szCs w:val="24"/>
          <w:lang w:val="zh-CN"/>
        </w:rPr>
        <w:t>采购标的验收标准</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整体项目验收由</w:t>
      </w:r>
      <w:r>
        <w:rPr>
          <w:rFonts w:hint="eastAsia" w:ascii="宋体" w:hAnsi="宋体" w:cs="宋体"/>
          <w:color w:val="000000" w:themeColor="text1"/>
          <w:kern w:val="0"/>
          <w:sz w:val="24"/>
          <w:szCs w:val="24"/>
          <w:lang w:val="zh-CN"/>
        </w:rPr>
        <w:t>大生集团进行验收，必要时</w:t>
      </w:r>
      <w:r>
        <w:rPr>
          <w:rFonts w:hint="eastAsia" w:ascii="宋体" w:hAnsi="宋体" w:cs="宋体"/>
          <w:color w:val="000000"/>
          <w:kern w:val="0"/>
          <w:sz w:val="24"/>
          <w:szCs w:val="24"/>
          <w:lang w:val="zh-CN"/>
        </w:rPr>
        <w:t>组织专家进行评审验收，需要在验收前提交验收文档，包含项目过程文档，不限于项目需求说明、概要设计、详细设计、数据库设计、系统测试报告、培训资料、</w:t>
      </w:r>
      <w:r>
        <w:rPr>
          <w:rFonts w:hint="eastAsia" w:ascii="宋体" w:hAnsi="宋体" w:cs="宋体"/>
          <w:color w:val="000000"/>
          <w:kern w:val="0"/>
          <w:sz w:val="24"/>
          <w:szCs w:val="24"/>
        </w:rPr>
        <w:t>系统操作手册</w:t>
      </w:r>
      <w:r>
        <w:rPr>
          <w:rFonts w:hint="eastAsia" w:ascii="宋体" w:hAnsi="宋体" w:cs="宋体"/>
          <w:color w:val="000000"/>
          <w:kern w:val="0"/>
          <w:sz w:val="24"/>
          <w:szCs w:val="24"/>
          <w:lang w:val="zh-CN"/>
        </w:rPr>
        <w:t>、试运行报告等</w:t>
      </w:r>
      <w:r>
        <w:rPr>
          <w:rFonts w:hint="eastAsia" w:ascii="宋体" w:hAnsi="宋体" w:cs="宋体"/>
          <w:color w:val="000000" w:themeColor="text1"/>
          <w:kern w:val="0"/>
          <w:sz w:val="24"/>
          <w:szCs w:val="24"/>
          <w:lang w:val="zh-CN"/>
        </w:rPr>
        <w:t>。</w:t>
      </w:r>
    </w:p>
    <w:p>
      <w:pPr>
        <w:tabs>
          <w:tab w:val="left" w:pos="0"/>
        </w:tabs>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themeColor="text1"/>
          <w:kern w:val="0"/>
          <w:sz w:val="24"/>
          <w:szCs w:val="24"/>
          <w:lang w:val="zh-CN"/>
        </w:rPr>
        <w:t>四、其他</w:t>
      </w:r>
      <w:r>
        <w:rPr>
          <w:rFonts w:hint="eastAsia" w:ascii="宋体" w:hAnsi="宋体" w:cs="宋体"/>
          <w:b/>
          <w:color w:val="000000"/>
          <w:kern w:val="0"/>
          <w:sz w:val="24"/>
          <w:szCs w:val="24"/>
          <w:lang w:val="zh-CN"/>
        </w:rPr>
        <w:t>要求</w:t>
      </w:r>
    </w:p>
    <w:p>
      <w:pPr>
        <w:spacing w:line="440" w:lineRule="exact"/>
        <w:ind w:firstLine="480" w:firstLineChars="200"/>
        <w:rPr>
          <w:rFonts w:ascii="宋体" w:hAnsi="宋体" w:cs="宋体"/>
          <w:color w:val="000000" w:themeColor="text1"/>
          <w:kern w:val="0"/>
          <w:sz w:val="24"/>
          <w:szCs w:val="24"/>
          <w:lang w:val="zh-CN"/>
        </w:rPr>
      </w:pPr>
      <w:r>
        <w:rPr>
          <w:rFonts w:hint="eastAsia" w:ascii="宋体" w:hAnsi="宋体" w:cs="宋体"/>
          <w:color w:val="000000" w:themeColor="text1"/>
          <w:kern w:val="0"/>
          <w:sz w:val="24"/>
          <w:szCs w:val="24"/>
          <w:lang w:val="zh-CN"/>
        </w:rPr>
        <w:t>供应商</w:t>
      </w:r>
      <w:r>
        <w:rPr>
          <w:rFonts w:hint="eastAsia" w:ascii="宋体" w:hAnsi="宋体" w:cs="宋体"/>
          <w:color w:val="000000"/>
          <w:kern w:val="0"/>
          <w:sz w:val="24"/>
          <w:szCs w:val="24"/>
          <w:lang w:val="zh-CN"/>
        </w:rPr>
        <w:t>在系统开发涉及到的第三方接口对接不再另外向甲方收取费用。</w:t>
      </w:r>
    </w:p>
    <w:p>
      <w:pPr>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themeColor="text1"/>
          <w:kern w:val="0"/>
          <w:sz w:val="24"/>
          <w:szCs w:val="24"/>
          <w:lang w:val="zh-CN"/>
        </w:rPr>
        <w:t>五、</w:t>
      </w:r>
      <w:r>
        <w:rPr>
          <w:rFonts w:hint="eastAsia" w:ascii="宋体" w:hAnsi="宋体" w:cs="宋体"/>
          <w:b/>
          <w:color w:val="000000"/>
          <w:kern w:val="0"/>
          <w:sz w:val="24"/>
          <w:szCs w:val="24"/>
          <w:lang w:val="zh-CN"/>
        </w:rPr>
        <w:t>付款方式</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0" w:type="dxa"/>
            <w:noWrap/>
            <w:vAlign w:val="center"/>
          </w:tcPr>
          <w:p>
            <w:pPr>
              <w:snapToGrid w:val="0"/>
              <w:spacing w:line="360" w:lineRule="auto"/>
              <w:jc w:val="center"/>
              <w:rPr>
                <w:rFonts w:ascii="宋体" w:hAnsi="宋体"/>
                <w:b/>
                <w:color w:val="000000"/>
              </w:rPr>
            </w:pPr>
            <w:r>
              <w:rPr>
                <w:rFonts w:hint="eastAsia" w:ascii="宋体" w:hAnsi="宋体"/>
                <w:b/>
                <w:color w:val="000000"/>
              </w:rPr>
              <w:t>序号</w:t>
            </w:r>
          </w:p>
        </w:tc>
        <w:tc>
          <w:tcPr>
            <w:tcW w:w="2835" w:type="dxa"/>
            <w:noWrap/>
            <w:vAlign w:val="center"/>
          </w:tcPr>
          <w:p>
            <w:pPr>
              <w:snapToGrid w:val="0"/>
              <w:spacing w:line="360" w:lineRule="auto"/>
              <w:jc w:val="center"/>
              <w:rPr>
                <w:rFonts w:ascii="宋体" w:hAnsi="宋体"/>
                <w:b/>
                <w:color w:val="000000"/>
              </w:rPr>
            </w:pPr>
            <w:r>
              <w:rPr>
                <w:rFonts w:hint="eastAsia" w:ascii="宋体" w:hAnsi="宋体"/>
                <w:b/>
                <w:color w:val="000000"/>
              </w:rPr>
              <w:t>付款比例</w:t>
            </w:r>
          </w:p>
        </w:tc>
        <w:tc>
          <w:tcPr>
            <w:tcW w:w="5953" w:type="dxa"/>
            <w:noWrap/>
            <w:vAlign w:val="center"/>
          </w:tcPr>
          <w:p>
            <w:pPr>
              <w:snapToGrid w:val="0"/>
              <w:spacing w:line="360" w:lineRule="auto"/>
              <w:jc w:val="center"/>
              <w:rPr>
                <w:rFonts w:ascii="宋体" w:hAnsi="宋体"/>
                <w:b/>
                <w:color w:val="000000"/>
              </w:rPr>
            </w:pPr>
            <w:r>
              <w:rPr>
                <w:rFonts w:hint="eastAsia" w:ascii="宋体" w:hAnsi="宋体"/>
                <w:b/>
                <w:color w:val="000000"/>
              </w:rPr>
              <w:t>支付条件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snapToGrid w:val="0"/>
              <w:spacing w:line="360" w:lineRule="auto"/>
              <w:jc w:val="center"/>
              <w:rPr>
                <w:rFonts w:ascii="宋体" w:hAnsi="宋体"/>
                <w:color w:val="000000"/>
              </w:rPr>
            </w:pPr>
            <w:r>
              <w:rPr>
                <w:rFonts w:hint="eastAsia" w:ascii="宋体" w:hAnsi="宋体"/>
                <w:color w:val="000000"/>
              </w:rPr>
              <w:t>1</w:t>
            </w:r>
          </w:p>
        </w:tc>
        <w:tc>
          <w:tcPr>
            <w:tcW w:w="2835"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预付款：合同金额的40%</w:t>
            </w:r>
          </w:p>
        </w:tc>
        <w:tc>
          <w:tcPr>
            <w:tcW w:w="5953"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合同金额40%的等额增值税发票（甲方收到乙方提供的合格的履约保函）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ign w:val="center"/>
          </w:tcPr>
          <w:p>
            <w:pPr>
              <w:snapToGrid w:val="0"/>
              <w:spacing w:line="360" w:lineRule="auto"/>
              <w:jc w:val="center"/>
              <w:rPr>
                <w:rFonts w:ascii="宋体" w:hAnsi="宋体"/>
                <w:color w:val="000000"/>
              </w:rPr>
            </w:pPr>
            <w:r>
              <w:rPr>
                <w:rFonts w:hint="eastAsia" w:ascii="宋体" w:hAnsi="宋体"/>
                <w:color w:val="000000"/>
              </w:rPr>
              <w:t>2</w:t>
            </w:r>
          </w:p>
        </w:tc>
        <w:tc>
          <w:tcPr>
            <w:tcW w:w="2835"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阶段付款：合同金额的30%</w:t>
            </w:r>
          </w:p>
        </w:tc>
        <w:tc>
          <w:tcPr>
            <w:tcW w:w="5953"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合同金额30%的等额增值税发票（</w:t>
            </w:r>
            <w:r>
              <w:rPr>
                <w:rFonts w:ascii="宋体" w:hAnsi="宋体"/>
                <w:color w:val="000000"/>
                <w:sz w:val="24"/>
              </w:rPr>
              <w:t>甲方确认实施方案及需求分析报告</w:t>
            </w:r>
            <w:r>
              <w:rPr>
                <w:rFonts w:hint="eastAsia" w:ascii="宋体" w:hAnsi="宋体"/>
                <w:color w:val="000000"/>
                <w:sz w:val="24"/>
              </w:rPr>
              <w:t>，甲方系统安装测试完成后）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noWrap/>
            <w:vAlign w:val="center"/>
          </w:tcPr>
          <w:p>
            <w:pPr>
              <w:snapToGrid w:val="0"/>
              <w:spacing w:line="360" w:lineRule="auto"/>
              <w:jc w:val="center"/>
              <w:rPr>
                <w:rFonts w:ascii="宋体" w:hAnsi="宋体"/>
                <w:color w:val="000000"/>
              </w:rPr>
            </w:pPr>
            <w:r>
              <w:rPr>
                <w:rFonts w:hint="eastAsia" w:ascii="宋体" w:hAnsi="宋体"/>
                <w:color w:val="000000"/>
              </w:rPr>
              <w:t>3</w:t>
            </w:r>
          </w:p>
        </w:tc>
        <w:tc>
          <w:tcPr>
            <w:tcW w:w="2835"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阶段付款：合同金额的25%</w:t>
            </w:r>
          </w:p>
        </w:tc>
        <w:tc>
          <w:tcPr>
            <w:tcW w:w="5953"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合同金额25%的等额增值税发票（系统验收通过后）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10" w:type="dxa"/>
            <w:noWrap/>
            <w:vAlign w:val="center"/>
          </w:tcPr>
          <w:p>
            <w:pPr>
              <w:snapToGrid w:val="0"/>
              <w:spacing w:line="360" w:lineRule="auto"/>
              <w:jc w:val="center"/>
              <w:rPr>
                <w:rFonts w:ascii="宋体" w:hAnsi="宋体"/>
                <w:color w:val="000000"/>
              </w:rPr>
            </w:pPr>
            <w:r>
              <w:rPr>
                <w:rFonts w:hint="eastAsia" w:ascii="宋体" w:hAnsi="宋体"/>
                <w:color w:val="000000"/>
              </w:rPr>
              <w:t>4</w:t>
            </w:r>
          </w:p>
        </w:tc>
        <w:tc>
          <w:tcPr>
            <w:tcW w:w="2835"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阶段付款：合同金额的5%</w:t>
            </w:r>
          </w:p>
        </w:tc>
        <w:tc>
          <w:tcPr>
            <w:tcW w:w="5953"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合同金额5%的等额增值税发票（2年质保期结束后）</w:t>
            </w:r>
          </w:p>
        </w:tc>
      </w:tr>
    </w:tbl>
    <w:p>
      <w:pPr>
        <w:spacing w:line="360" w:lineRule="auto"/>
        <w:ind w:firstLine="480" w:firstLineChars="200"/>
        <w:jc w:val="center"/>
        <w:rPr>
          <w:rFonts w:ascii="宋体"/>
          <w:color w:val="000000" w:themeColor="text1"/>
          <w:kern w:val="0"/>
          <w:sz w:val="32"/>
          <w:szCs w:val="32"/>
        </w:rPr>
      </w:pPr>
      <w:r>
        <w:rPr>
          <w:rFonts w:ascii="宋体" w:hAnsi="宋体" w:cs="宋体"/>
          <w:color w:val="000000" w:themeColor="text1"/>
          <w:kern w:val="0"/>
          <w:sz w:val="24"/>
          <w:szCs w:val="24"/>
          <w:lang w:val="zh-CN"/>
        </w:rPr>
        <w:br w:type="page"/>
      </w:r>
      <w:r>
        <w:rPr>
          <w:rFonts w:hint="eastAsia" w:ascii="宋体" w:hAnsi="宋体" w:cs="宋体"/>
          <w:b/>
          <w:bCs/>
          <w:color w:val="000000" w:themeColor="text1"/>
          <w:w w:val="80"/>
          <w:sz w:val="44"/>
          <w:szCs w:val="44"/>
        </w:rPr>
        <w:t>第四章</w:t>
      </w:r>
      <w:bookmarkStart w:id="79" w:name="_Toc182848996"/>
      <w:bookmarkStart w:id="80" w:name="_Toc38121794"/>
      <w:bookmarkStart w:id="81" w:name="_Toc43217893"/>
      <w:bookmarkStart w:id="82" w:name="_Toc37322565"/>
      <w:bookmarkStart w:id="83" w:name="_Toc85627670"/>
      <w:r>
        <w:rPr>
          <w:rFonts w:hint="eastAsia" w:ascii="宋体" w:hAnsi="宋体" w:cs="宋体"/>
          <w:b/>
          <w:bCs/>
          <w:color w:val="000000" w:themeColor="text1"/>
          <w:w w:val="80"/>
          <w:sz w:val="44"/>
          <w:szCs w:val="44"/>
        </w:rPr>
        <w:t xml:space="preserve">  评审方法和程序</w:t>
      </w:r>
    </w:p>
    <w:bookmarkEnd w:id="79"/>
    <w:bookmarkEnd w:id="80"/>
    <w:bookmarkEnd w:id="81"/>
    <w:bookmarkEnd w:id="82"/>
    <w:bookmarkEnd w:id="83"/>
    <w:p>
      <w:pPr>
        <w:snapToGrid w:val="0"/>
        <w:spacing w:line="480" w:lineRule="exact"/>
        <w:ind w:firstLine="482" w:firstLineChars="200"/>
        <w:outlineLvl w:val="1"/>
        <w:rPr>
          <w:rFonts w:ascii="宋体"/>
          <w:b/>
          <w:bCs/>
          <w:color w:val="000000" w:themeColor="text1"/>
          <w:sz w:val="24"/>
          <w:szCs w:val="24"/>
        </w:rPr>
      </w:pPr>
      <w:bookmarkStart w:id="84" w:name="_Toc363573857"/>
      <w:bookmarkEnd w:id="84"/>
      <w:r>
        <w:rPr>
          <w:rFonts w:hint="eastAsia" w:ascii="宋体" w:hAnsi="宋体" w:cs="宋体"/>
          <w:b/>
          <w:bCs/>
          <w:color w:val="000000" w:themeColor="text1"/>
          <w:sz w:val="24"/>
          <w:szCs w:val="24"/>
        </w:rPr>
        <w:t>一、代理机构组织磋商</w:t>
      </w:r>
    </w:p>
    <w:p>
      <w:pPr>
        <w:snapToGrid w:val="0"/>
        <w:spacing w:line="460" w:lineRule="exact"/>
        <w:ind w:firstLine="480"/>
        <w:rPr>
          <w:rFonts w:ascii="宋体"/>
          <w:b/>
          <w:bCs/>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、本次竞争性磋商依据相关法规成立竞争性磋商小组。竞争性磋商小组由采购人代表和评审专家共计3人及以上单数组成，其中评审专家人数不得少于竞争性磋商小组成员总数的2/3。</w:t>
      </w:r>
      <w:r>
        <w:rPr>
          <w:b/>
          <w:bCs/>
          <w:color w:val="000000" w:themeColor="text1"/>
          <w:sz w:val="24"/>
          <w:szCs w:val="24"/>
        </w:rPr>
        <w:t>本项目竞争性磋商小组由采购单位代表和评审专家共3人组成，其中评审专家2人，采购人代表1人。</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、磋商小组的职责：</w:t>
      </w:r>
    </w:p>
    <w:p>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）磋商小组成员应当按照客观、公正、审慎的原则，根据磋商文件规定的评审程序、评审方法和评审标准进行独立评审。</w:t>
      </w:r>
    </w:p>
    <w:p>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）磋商小组成员应当遵守评审工作纪律，不得泄露评审情况和评审中获悉的商业秘密，对个人的评审意见承担法律责任。</w:t>
      </w:r>
    </w:p>
    <w:p>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3</w:t>
      </w:r>
      <w:r>
        <w:rPr>
          <w:rFonts w:hint="eastAsia" w:ascii="宋体" w:hAnsi="宋体" w:cs="宋体"/>
          <w:color w:val="000000" w:themeColor="text1"/>
          <w:sz w:val="24"/>
          <w:szCs w:val="24"/>
        </w:rPr>
        <w:t>）磋商小组成员在评审过程中发现供应商有行贿、提供虚假材料或者串通等违法行为的，应当及时向有关部门报告。</w:t>
      </w:r>
    </w:p>
    <w:p>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4</w:t>
      </w:r>
      <w:r>
        <w:rPr>
          <w:rFonts w:hint="eastAsia" w:ascii="宋体" w:hAnsi="宋体" w:cs="宋体"/>
          <w:color w:val="000000" w:themeColor="text1"/>
          <w:sz w:val="24"/>
          <w:szCs w:val="24"/>
        </w:rPr>
        <w:t>）磋商小组成员在评审过程中受到非法干涉的，应当及时向财政、监察等部门举报。</w:t>
      </w:r>
    </w:p>
    <w:p>
      <w:pPr>
        <w:snapToGrid w:val="0"/>
        <w:spacing w:line="48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5</w:t>
      </w:r>
      <w:r>
        <w:rPr>
          <w:rFonts w:hint="eastAsia" w:ascii="宋体" w:hAnsi="宋体" w:cs="宋体"/>
          <w:color w:val="000000" w:themeColor="text1"/>
          <w:sz w:val="24"/>
          <w:szCs w:val="24"/>
        </w:rPr>
        <w:t>）答复供应商提出的质疑及财政部门的投诉处理和监督检查工作。</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、评审有关记录由磋商小组成员签名，存档备查。</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、供应商的法定代表人或被授权人须持身份证准时参加磋商开标会。</w:t>
      </w:r>
    </w:p>
    <w:p>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二、磋商的原则及方法</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、磋商小组依据《中华人民共和国政府采购法》、《政府采购竞争性磋商采购方式管理暂行办法》以及有关采购的相关法规，遵循“公开、公平、公正、择优、信用”的原则进行磋商评审。</w:t>
      </w:r>
    </w:p>
    <w:p>
      <w:pPr>
        <w:snapToGrid w:val="0"/>
        <w:spacing w:line="480" w:lineRule="exact"/>
        <w:ind w:firstLine="484" w:firstLineChars="202"/>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pPr>
        <w:snapToGrid w:val="0"/>
        <w:spacing w:line="480" w:lineRule="exact"/>
        <w:ind w:firstLine="484" w:firstLineChars="202"/>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、磋商小组所有成员可以集中与单一供应商分别进行磋商，并给予所有参加磋商的供应商平等的磋商机会。</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、对磋商文件作出的实质性变动是磋商文件的有效组成部分，磋商小组应当及时以书面形式同时通知所有参加磋商的供应商。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7</w:t>
      </w:r>
      <w:r>
        <w:rPr>
          <w:rFonts w:hint="eastAsia" w:ascii="宋体" w:hAnsi="宋体" w:cs="宋体"/>
          <w:color w:val="000000" w:themeColor="text1"/>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8</w:t>
      </w:r>
      <w:r>
        <w:rPr>
          <w:rFonts w:hint="eastAsia" w:ascii="宋体" w:hAnsi="宋体" w:cs="宋体"/>
          <w:color w:val="000000" w:themeColor="text1"/>
          <w:sz w:val="24"/>
          <w:szCs w:val="24"/>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9</w:t>
      </w:r>
      <w:r>
        <w:rPr>
          <w:rFonts w:hint="eastAsia" w:ascii="宋体" w:hAnsi="宋体" w:cs="宋体"/>
          <w:color w:val="000000" w:themeColor="text1"/>
          <w:sz w:val="24"/>
          <w:szCs w:val="24"/>
        </w:rPr>
        <w:t>、除非在磋商中磋商小组对采购单位需求内容作了调整增加，或对采购内容作了实质性变更，否则</w:t>
      </w:r>
      <w:r>
        <w:rPr>
          <w:rFonts w:hint="eastAsia" w:ascii="宋体" w:hAnsi="宋体" w:cs="宋体"/>
          <w:bCs/>
          <w:color w:val="000000" w:themeColor="text1"/>
          <w:sz w:val="24"/>
          <w:szCs w:val="24"/>
        </w:rPr>
        <w:t>采购单位不接受供应商高于自己前一轮的磋商报价</w:t>
      </w:r>
      <w:r>
        <w:rPr>
          <w:rFonts w:hint="eastAsia" w:ascii="宋体" w:hAnsi="宋体" w:cs="宋体"/>
          <w:color w:val="000000" w:themeColor="text1"/>
          <w:sz w:val="24"/>
          <w:szCs w:val="24"/>
        </w:rPr>
        <w:t>。</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ascii="宋体" w:cs="宋体"/>
          <w:color w:val="000000" w:themeColor="text1"/>
          <w:sz w:val="24"/>
          <w:szCs w:val="24"/>
        </w:rPr>
        <w:t>0</w:t>
      </w:r>
      <w:r>
        <w:rPr>
          <w:rFonts w:hint="eastAsia" w:ascii="宋体" w:hAnsi="宋体" w:cs="宋体"/>
          <w:color w:val="000000" w:themeColor="text1"/>
          <w:sz w:val="24"/>
          <w:szCs w:val="24"/>
        </w:rPr>
        <w:t>、对于在磋商顺利开始后至最终报价前，根据磋商情况退出磋商的供应商，须以书面形式说明退出磋商的原因，经磋商小组同意可以退出磋商。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11</w:t>
      </w:r>
      <w:r>
        <w:rPr>
          <w:rFonts w:hint="eastAsia" w:ascii="宋体" w:hAnsi="宋体" w:cs="宋体"/>
          <w:color w:val="000000" w:themeColor="text1"/>
          <w:sz w:val="24"/>
          <w:szCs w:val="24"/>
        </w:rPr>
        <w:t>、在磋商中，磋商的任何一方不得透露与磋商有关的其他响应磋商的供应商的技术资料、价格及其他信息。</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12</w:t>
      </w:r>
      <w:r>
        <w:rPr>
          <w:rFonts w:hint="eastAsia" w:ascii="宋体" w:hAnsi="宋体" w:cs="宋体"/>
          <w:color w:val="000000" w:themeColor="text1"/>
          <w:sz w:val="24"/>
          <w:szCs w:val="24"/>
        </w:rPr>
        <w:t>、凡两家或以上公司同一法定代表人或其中一家公司为另一家公司单一最大股东的，不能同时参与同一采购项目相同标段的磋商采购活动，一经发现，将视同串标处理。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13</w:t>
      </w:r>
      <w:r>
        <w:rPr>
          <w:rFonts w:hint="eastAsia" w:ascii="宋体" w:hAnsi="宋体" w:cs="宋体"/>
          <w:color w:val="000000" w:themeColor="text1"/>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snapToGrid w:val="0"/>
        <w:spacing w:line="480" w:lineRule="exact"/>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三、评审步骤</w:t>
      </w:r>
    </w:p>
    <w:p>
      <w:pPr>
        <w:snapToGrid w:val="0"/>
        <w:spacing w:line="480" w:lineRule="exact"/>
        <w:ind w:firstLine="482" w:firstLineChars="200"/>
        <w:rPr>
          <w:rFonts w:ascii="宋体"/>
          <w:b/>
          <w:bCs/>
          <w:color w:val="000000" w:themeColor="text1"/>
          <w:sz w:val="24"/>
          <w:szCs w:val="24"/>
          <w:lang w:val="zh-CN"/>
        </w:rPr>
      </w:pPr>
      <w:r>
        <w:rPr>
          <w:rFonts w:ascii="宋体" w:hAnsi="宋体" w:cs="宋体"/>
          <w:b/>
          <w:bCs/>
          <w:color w:val="000000" w:themeColor="text1"/>
          <w:sz w:val="24"/>
          <w:szCs w:val="24"/>
          <w:lang w:val="zh-CN"/>
        </w:rPr>
        <w:t>1</w:t>
      </w:r>
      <w:r>
        <w:rPr>
          <w:rFonts w:hint="eastAsia" w:ascii="宋体" w:hAnsi="宋体" w:cs="宋体"/>
          <w:b/>
          <w:bCs/>
          <w:color w:val="000000" w:themeColor="text1"/>
          <w:sz w:val="24"/>
          <w:szCs w:val="24"/>
          <w:lang w:val="zh-CN"/>
        </w:rPr>
        <w:t>、评审步骤规定：</w:t>
      </w:r>
    </w:p>
    <w:p>
      <w:pPr>
        <w:snapToGrid w:val="0"/>
        <w:spacing w:line="480" w:lineRule="exact"/>
        <w:ind w:firstLine="482" w:firstLineChars="200"/>
        <w:rPr>
          <w:rFonts w:ascii="宋体"/>
          <w:b/>
          <w:bCs/>
          <w:color w:val="000000" w:themeColor="text1"/>
          <w:sz w:val="24"/>
          <w:szCs w:val="24"/>
          <w:lang w:val="zh-CN"/>
        </w:rPr>
      </w:pPr>
      <w:r>
        <w:rPr>
          <w:rFonts w:hint="eastAsia" w:ascii="宋体" w:hAnsi="宋体" w:cs="宋体"/>
          <w:b/>
          <w:bCs/>
          <w:color w:val="000000" w:themeColor="text1"/>
          <w:sz w:val="24"/>
          <w:szCs w:val="24"/>
          <w:lang w:val="zh-CN"/>
        </w:rPr>
        <w:t>本次资格审查采用资格后审，各供应商资格审查通过后方能进入技术标的开标。先开技术标，技术标打分结束后再开商务标。</w:t>
      </w:r>
    </w:p>
    <w:p>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第一阶段：</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对每个供应商的资格进行审查。</w:t>
      </w:r>
    </w:p>
    <w:p>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第二阶段：</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对每个符合资格要求的供应商的技术标进行</w:t>
      </w:r>
      <w:r>
        <w:rPr>
          <w:rFonts w:hint="eastAsia" w:ascii="宋体" w:hAnsi="宋体" w:cs="宋体"/>
          <w:color w:val="000000" w:themeColor="text1"/>
          <w:sz w:val="24"/>
          <w:szCs w:val="24"/>
        </w:rPr>
        <w:t>评审</w:t>
      </w:r>
      <w:r>
        <w:rPr>
          <w:rFonts w:hint="eastAsia" w:ascii="宋体" w:hAnsi="宋体" w:cs="宋体"/>
          <w:color w:val="000000" w:themeColor="text1"/>
          <w:sz w:val="24"/>
          <w:szCs w:val="24"/>
          <w:lang w:val="zh-CN"/>
        </w:rPr>
        <w:t>。主要审查技术标提交的内容是否齐全，技术方案及项目实施是否完全满足采购文件的要求。</w:t>
      </w:r>
      <w:r>
        <w:rPr>
          <w:rFonts w:hint="eastAsia" w:ascii="宋体" w:hAnsi="宋体" w:cs="宋体"/>
          <w:color w:val="000000" w:themeColor="text1"/>
          <w:sz w:val="24"/>
          <w:szCs w:val="24"/>
        </w:rPr>
        <w:t>磋商小组严格按照磋商文件的要求、条件、评分标准，对供应商所提供货物或服务的先进性、可靠性、售后服务承诺、质量保证承诺等实质性响应内容进行比较。</w:t>
      </w:r>
    </w:p>
    <w:p>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第三阶段：以供应商价格标文件内的</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报价（即首次报价）为基础，</w:t>
      </w:r>
      <w:r>
        <w:rPr>
          <w:rFonts w:hint="eastAsia" w:ascii="宋体" w:hAnsi="宋体" w:cs="宋体"/>
          <w:color w:val="000000" w:themeColor="text1"/>
          <w:sz w:val="24"/>
          <w:szCs w:val="24"/>
        </w:rPr>
        <w:t>磋商小组与</w:t>
      </w:r>
      <w:r>
        <w:rPr>
          <w:rFonts w:hint="eastAsia" w:ascii="宋体" w:hAnsi="宋体" w:cs="宋体"/>
          <w:color w:val="000000" w:themeColor="text1"/>
          <w:sz w:val="24"/>
          <w:szCs w:val="24"/>
          <w:lang w:val="zh-CN"/>
        </w:rPr>
        <w:t>供应商可以分别进行</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：内容主要是对</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响应文件中的项目方案的澄清、修正、补充、确认以及价格调整等。如</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内容导致</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文件有实质性变动的，</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应当以书面形式通知所有供应商。</w:t>
      </w:r>
    </w:p>
    <w:p>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第四阶段：</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明确各供应商符合并满足磋商文件要求，并能完全响应</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内容后，要求其现场集体给出最终报价，同时最终报价中可包括但不限于如最终澄清方案、有关优惠承诺等。</w:t>
      </w:r>
    </w:p>
    <w:p>
      <w:pPr>
        <w:snapToGrid w:val="0"/>
        <w:spacing w:line="480" w:lineRule="exact"/>
        <w:ind w:firstLine="480" w:firstLineChars="200"/>
        <w:rPr>
          <w:rFonts w:ascii="宋体"/>
          <w:color w:val="000000" w:themeColor="text1"/>
          <w:sz w:val="24"/>
          <w:szCs w:val="24"/>
          <w:lang w:val="zh-CN"/>
        </w:rPr>
      </w:pPr>
      <w:r>
        <w:rPr>
          <w:rFonts w:hint="eastAsia" w:ascii="宋体" w:hAnsi="宋体" w:cs="宋体"/>
          <w:color w:val="000000" w:themeColor="text1"/>
          <w:sz w:val="24"/>
          <w:szCs w:val="24"/>
          <w:lang w:val="zh-CN"/>
        </w:rPr>
        <w:t>第五阶段：</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对供应商的最终报价进行评议和比较，在实质性响应</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文件，技术标和价格标部分都能满足</w:t>
      </w:r>
      <w:r>
        <w:rPr>
          <w:rFonts w:hint="eastAsia" w:ascii="宋体" w:hAnsi="宋体" w:cs="宋体"/>
          <w:color w:val="000000" w:themeColor="text1"/>
          <w:sz w:val="24"/>
          <w:szCs w:val="24"/>
        </w:rPr>
        <w:t>竞争性磋商</w:t>
      </w:r>
      <w:r>
        <w:rPr>
          <w:rFonts w:hint="eastAsia" w:ascii="宋体" w:hAnsi="宋体" w:cs="宋体"/>
          <w:color w:val="000000" w:themeColor="text1"/>
          <w:sz w:val="24"/>
          <w:szCs w:val="24"/>
          <w:lang w:val="zh-CN"/>
        </w:rPr>
        <w:t>文件的前提下，</w:t>
      </w:r>
      <w:r>
        <w:rPr>
          <w:rFonts w:hint="eastAsia" w:ascii="宋体" w:hAnsi="宋体" w:cs="宋体"/>
          <w:color w:val="000000" w:themeColor="text1"/>
          <w:sz w:val="24"/>
          <w:szCs w:val="24"/>
        </w:rPr>
        <w:t>磋商小组</w:t>
      </w:r>
      <w:r>
        <w:rPr>
          <w:rFonts w:hint="eastAsia" w:ascii="宋体" w:hAnsi="宋体" w:cs="宋体"/>
          <w:color w:val="000000" w:themeColor="text1"/>
          <w:sz w:val="24"/>
          <w:szCs w:val="24"/>
          <w:lang w:val="zh-CN"/>
        </w:rPr>
        <w:t>将校核后的各供应商的报价从低到高排序（</w:t>
      </w:r>
      <w:r>
        <w:rPr>
          <w:rFonts w:hint="eastAsia" w:ascii="宋体" w:hAnsi="宋体" w:cs="宋体"/>
          <w:color w:val="000000" w:themeColor="text1"/>
          <w:sz w:val="24"/>
          <w:szCs w:val="24"/>
        </w:rPr>
        <w:t>明显低于成本的，且供应商不能合理说明或者不能提供相关证明材料的报价除外）</w:t>
      </w:r>
      <w:r>
        <w:rPr>
          <w:rFonts w:hint="eastAsia" w:ascii="宋体" w:hAnsi="宋体" w:cs="宋体"/>
          <w:color w:val="000000" w:themeColor="text1"/>
          <w:sz w:val="24"/>
          <w:szCs w:val="24"/>
          <w:lang w:val="zh-CN"/>
        </w:rPr>
        <w:t>。</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lang w:val="zh-CN"/>
        </w:rPr>
        <w:t>2</w:t>
      </w:r>
      <w:r>
        <w:rPr>
          <w:rFonts w:hint="eastAsia" w:ascii="宋体" w:hAnsi="宋体" w:cs="宋体"/>
          <w:color w:val="000000" w:themeColor="text1"/>
          <w:sz w:val="24"/>
          <w:szCs w:val="24"/>
          <w:lang w:val="zh-CN"/>
        </w:rPr>
        <w:t>、在</w:t>
      </w:r>
      <w:r>
        <w:rPr>
          <w:rFonts w:hint="eastAsia" w:ascii="宋体" w:hAnsi="宋体" w:cs="宋体"/>
          <w:color w:val="000000" w:themeColor="text1"/>
          <w:sz w:val="24"/>
          <w:szCs w:val="24"/>
        </w:rPr>
        <w:t>磋商</w:t>
      </w:r>
      <w:r>
        <w:rPr>
          <w:rFonts w:hint="eastAsia" w:ascii="宋体" w:hAnsi="宋体" w:cs="宋体"/>
          <w:color w:val="000000" w:themeColor="text1"/>
          <w:sz w:val="24"/>
          <w:szCs w:val="24"/>
          <w:lang w:val="zh-CN"/>
        </w:rPr>
        <w:t>过程中，供应商提交的澄清文件和最终报价文件，由供应商法定代表人或被授权人签字盖章后生效，供应商受其约束。</w:t>
      </w:r>
    </w:p>
    <w:p>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四、磋商评定结果的方法</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w:t>
      </w:r>
      <w:r>
        <w:rPr>
          <w:rFonts w:hint="eastAsia" w:ascii="宋体" w:hAnsi="宋体" w:cs="宋体"/>
          <w:b/>
          <w:bCs/>
          <w:color w:val="000000" w:themeColor="text1"/>
          <w:sz w:val="24"/>
          <w:szCs w:val="24"/>
          <w:u w:val="single"/>
        </w:rPr>
        <w:t>经磋商确定最终采购需求和提交最后报价的供应商后，</w:t>
      </w:r>
      <w:r>
        <w:rPr>
          <w:rFonts w:hint="eastAsia" w:ascii="宋体" w:hAnsi="宋体" w:cs="宋体"/>
          <w:color w:val="000000" w:themeColor="text1"/>
          <w:sz w:val="24"/>
          <w:szCs w:val="24"/>
        </w:rPr>
        <w:t>由磋商小组采用综合评分法</w:t>
      </w:r>
      <w:r>
        <w:rPr>
          <w:rFonts w:hint="eastAsia" w:ascii="宋体" w:hAnsi="宋体" w:cs="宋体"/>
          <w:b/>
          <w:bCs/>
          <w:color w:val="000000" w:themeColor="text1"/>
          <w:sz w:val="24"/>
          <w:szCs w:val="24"/>
          <w:u w:val="single"/>
        </w:rPr>
        <w:t>对提交最后报价的供应商的响应文件和最后报价</w:t>
      </w:r>
      <w:r>
        <w:rPr>
          <w:rFonts w:hint="eastAsia" w:ascii="宋体" w:hAnsi="宋体" w:cs="宋体"/>
          <w:color w:val="000000" w:themeColor="text1"/>
          <w:sz w:val="24"/>
          <w:szCs w:val="24"/>
        </w:rPr>
        <w:t>进行综合评分。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、评估时，磋商小组各成员应当独立对每个有效响应的文件进行评价、打分，然后汇总每个供应商每项评分因素的得分（计算结果均四舍五入保留两位小数）。</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、本次项目磋商的技术</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和商务报价</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评估总分值为</w:t>
      </w:r>
      <w:r>
        <w:rPr>
          <w:rFonts w:ascii="宋体" w:hAnsi="宋体" w:cs="宋体"/>
          <w:color w:val="000000" w:themeColor="text1"/>
          <w:sz w:val="24"/>
          <w:szCs w:val="24"/>
        </w:rPr>
        <w:t>100</w:t>
      </w:r>
      <w:r>
        <w:rPr>
          <w:rFonts w:hint="eastAsia" w:ascii="宋体" w:hAnsi="宋体" w:cs="宋体"/>
          <w:color w:val="000000" w:themeColor="text1"/>
          <w:sz w:val="24"/>
          <w:szCs w:val="24"/>
        </w:rPr>
        <w:t>分。两部分评估因素比重如下：</w:t>
      </w:r>
    </w:p>
    <w:p>
      <w:pPr>
        <w:snapToGrid w:val="0"/>
        <w:spacing w:line="480" w:lineRule="exact"/>
        <w:ind w:firstLine="480" w:firstLineChars="200"/>
        <w:rPr>
          <w:rFonts w:ascii="宋体"/>
          <w:color w:val="000000" w:themeColor="text1"/>
          <w:kern w:val="0"/>
          <w:sz w:val="24"/>
          <w:szCs w:val="24"/>
        </w:rPr>
      </w:pPr>
      <w:r>
        <w:rPr>
          <w:rFonts w:hint="eastAsia" w:ascii="宋体" w:hAnsi="宋体" w:cs="宋体"/>
          <w:color w:val="000000" w:themeColor="text1"/>
          <w:kern w:val="0"/>
          <w:sz w:val="24"/>
          <w:szCs w:val="24"/>
        </w:rPr>
        <w:t>技术响应文件分值占总分值的比重为</w:t>
      </w:r>
      <w:r>
        <w:rPr>
          <w:rFonts w:hint="eastAsia" w:ascii="宋体" w:hAnsi="宋体" w:cs="宋体"/>
          <w:color w:val="000000" w:themeColor="text1"/>
          <w:kern w:val="0"/>
          <w:sz w:val="24"/>
          <w:szCs w:val="24"/>
          <w:u w:val="single"/>
        </w:rPr>
        <w:t>70</w:t>
      </w:r>
      <w:r>
        <w:rPr>
          <w:rFonts w:ascii="宋体" w:hAnsi="宋体" w:cs="宋体"/>
          <w:color w:val="000000" w:themeColor="text1"/>
          <w:kern w:val="0"/>
          <w:sz w:val="24"/>
          <w:szCs w:val="24"/>
          <w:u w:val="single"/>
        </w:rPr>
        <w:t>%</w:t>
      </w:r>
      <w:r>
        <w:rPr>
          <w:rFonts w:hint="eastAsia" w:ascii="宋体" w:hAnsi="宋体" w:cs="宋体"/>
          <w:color w:val="000000" w:themeColor="text1"/>
          <w:kern w:val="0"/>
          <w:sz w:val="24"/>
          <w:szCs w:val="24"/>
          <w:u w:val="single"/>
        </w:rPr>
        <w:t>（权重）</w:t>
      </w:r>
      <w:r>
        <w:rPr>
          <w:rFonts w:hint="eastAsia" w:ascii="宋体" w:hAnsi="宋体" w:cs="宋体"/>
          <w:color w:val="000000" w:themeColor="text1"/>
          <w:kern w:val="0"/>
          <w:sz w:val="24"/>
          <w:szCs w:val="24"/>
        </w:rPr>
        <w:t>（四舍五入保留两位小数）；</w:t>
      </w:r>
    </w:p>
    <w:p>
      <w:pPr>
        <w:snapToGrid w:val="0"/>
        <w:spacing w:line="480" w:lineRule="exact"/>
        <w:ind w:firstLine="480" w:firstLineChars="200"/>
        <w:rPr>
          <w:rFonts w:ascii="宋体"/>
          <w:color w:val="000000" w:themeColor="text1"/>
          <w:kern w:val="0"/>
          <w:sz w:val="24"/>
          <w:szCs w:val="24"/>
        </w:rPr>
      </w:pPr>
      <w:r>
        <w:rPr>
          <w:rFonts w:hint="eastAsia" w:ascii="宋体" w:hAnsi="宋体" w:cs="宋体"/>
          <w:color w:val="000000" w:themeColor="text1"/>
          <w:kern w:val="0"/>
          <w:sz w:val="24"/>
          <w:szCs w:val="24"/>
        </w:rPr>
        <w:t>商务报价响应文件分值占总分值的比重为</w:t>
      </w:r>
      <w:r>
        <w:rPr>
          <w:rFonts w:hint="eastAsia" w:ascii="宋体" w:hAnsi="宋体" w:cs="宋体"/>
          <w:color w:val="000000" w:themeColor="text1"/>
          <w:kern w:val="0"/>
          <w:sz w:val="24"/>
          <w:szCs w:val="24"/>
          <w:u w:val="single"/>
        </w:rPr>
        <w:t>30</w:t>
      </w:r>
      <w:r>
        <w:rPr>
          <w:rFonts w:ascii="宋体" w:hAnsi="宋体" w:cs="宋体"/>
          <w:color w:val="000000" w:themeColor="text1"/>
          <w:kern w:val="0"/>
          <w:sz w:val="24"/>
          <w:szCs w:val="24"/>
          <w:u w:val="single"/>
        </w:rPr>
        <w:t>%</w:t>
      </w:r>
      <w:r>
        <w:rPr>
          <w:rFonts w:hint="eastAsia" w:ascii="宋体" w:hAnsi="宋体" w:cs="宋体"/>
          <w:color w:val="000000" w:themeColor="text1"/>
          <w:kern w:val="0"/>
          <w:sz w:val="24"/>
          <w:szCs w:val="24"/>
          <w:u w:val="single"/>
        </w:rPr>
        <w:t>（权重）</w:t>
      </w:r>
      <w:r>
        <w:rPr>
          <w:rFonts w:hint="eastAsia" w:ascii="宋体" w:hAnsi="宋体" w:cs="宋体"/>
          <w:color w:val="000000" w:themeColor="text1"/>
          <w:kern w:val="0"/>
          <w:sz w:val="24"/>
          <w:szCs w:val="24"/>
        </w:rPr>
        <w:t>（四舍五入保留两位小数）。</w:t>
      </w:r>
    </w:p>
    <w:p>
      <w:pPr>
        <w:snapToGrid w:val="0"/>
        <w:spacing w:line="480" w:lineRule="exact"/>
        <w:ind w:firstLine="480" w:firstLineChars="200"/>
        <w:rPr>
          <w:rFonts w:ascii="宋体"/>
          <w:dstrike/>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、技术</w:t>
      </w:r>
      <w:r>
        <w:rPr>
          <w:rFonts w:hint="eastAsia" w:ascii="宋体" w:hAnsi="宋体" w:cs="宋体"/>
          <w:color w:val="000000" w:themeColor="text1"/>
          <w:kern w:val="0"/>
          <w:sz w:val="24"/>
          <w:szCs w:val="24"/>
        </w:rPr>
        <w:t>响应文件分值为所有评委打分的算术平均值，计算</w:t>
      </w:r>
      <w:r>
        <w:rPr>
          <w:rFonts w:hint="eastAsia" w:ascii="宋体" w:hAnsi="宋体" w:cs="宋体"/>
          <w:color w:val="000000" w:themeColor="text1"/>
          <w:sz w:val="24"/>
          <w:szCs w:val="24"/>
        </w:rPr>
        <w:t>结果均四舍五入保留两位小数。</w:t>
      </w:r>
    </w:p>
    <w:p>
      <w:pPr>
        <w:snapToGrid w:val="0"/>
        <w:spacing w:line="480" w:lineRule="exact"/>
        <w:ind w:firstLine="480" w:firstLineChars="200"/>
        <w:rPr>
          <w:color w:val="000000" w:themeColor="text1"/>
        </w:rPr>
      </w:pPr>
      <w:r>
        <w:rPr>
          <w:rFonts w:ascii="宋体" w:hAnsi="宋体" w:cs="宋体"/>
          <w:color w:val="000000" w:themeColor="text1"/>
          <w:sz w:val="24"/>
          <w:szCs w:val="24"/>
        </w:rPr>
        <w:t>5</w:t>
      </w:r>
      <w:r>
        <w:rPr>
          <w:rFonts w:hint="eastAsia" w:ascii="宋体" w:hAnsi="宋体" w:cs="宋体"/>
          <w:color w:val="000000" w:themeColor="text1"/>
          <w:sz w:val="24"/>
          <w:szCs w:val="24"/>
        </w:rPr>
        <w:t>、商务报价</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分值统一采用低价优先法计算直接取得，与技术</w:t>
      </w:r>
      <w:r>
        <w:rPr>
          <w:rFonts w:hint="eastAsia" w:ascii="宋体" w:hAnsi="宋体" w:cs="宋体"/>
          <w:color w:val="000000" w:themeColor="text1"/>
          <w:kern w:val="0"/>
          <w:sz w:val="24"/>
          <w:szCs w:val="24"/>
        </w:rPr>
        <w:t>响应文件</w:t>
      </w:r>
      <w:r>
        <w:rPr>
          <w:rFonts w:hint="eastAsia" w:ascii="宋体" w:hAnsi="宋体" w:cs="宋体"/>
          <w:color w:val="000000" w:themeColor="text1"/>
          <w:sz w:val="24"/>
          <w:szCs w:val="24"/>
        </w:rPr>
        <w:t>分值相加为供应商的综合得分（四舍五入保留两位小数）。</w:t>
      </w:r>
    </w:p>
    <w:p>
      <w:pPr>
        <w:snapToGrid w:val="0"/>
        <w:spacing w:line="480" w:lineRule="exact"/>
        <w:ind w:firstLine="460" w:firstLineChars="192"/>
        <w:rPr>
          <w:rFonts w:ascii="宋体"/>
          <w:color w:val="000000" w:themeColor="text1"/>
          <w:kern w:val="0"/>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综合得分最高的供应商推荐为项目预成交供应商并出具评审磋商报告。</w:t>
      </w:r>
    </w:p>
    <w:p>
      <w:pPr>
        <w:snapToGrid w:val="0"/>
        <w:spacing w:line="480" w:lineRule="exact"/>
        <w:ind w:firstLine="480" w:firstLineChars="200"/>
        <w:outlineLvl w:val="1"/>
        <w:rPr>
          <w:rFonts w:ascii="宋体"/>
          <w:color w:val="000000" w:themeColor="text1"/>
          <w:sz w:val="24"/>
          <w:szCs w:val="24"/>
        </w:rPr>
      </w:pPr>
      <w:r>
        <w:rPr>
          <w:rFonts w:ascii="宋体" w:hAnsi="宋体" w:cs="宋体"/>
          <w:color w:val="000000" w:themeColor="text1"/>
          <w:sz w:val="24"/>
          <w:szCs w:val="24"/>
        </w:rPr>
        <w:t>7</w:t>
      </w:r>
      <w:r>
        <w:rPr>
          <w:rFonts w:hint="eastAsia" w:ascii="宋体" w:hAnsi="宋体" w:cs="宋体"/>
          <w:color w:val="000000" w:themeColor="text1"/>
          <w:sz w:val="24"/>
          <w:szCs w:val="24"/>
        </w:rPr>
        <w:t>、确定成交候选人的特殊情况处理：</w:t>
      </w:r>
    </w:p>
    <w:p>
      <w:pPr>
        <w:snapToGrid w:val="0"/>
        <w:spacing w:line="480" w:lineRule="exact"/>
        <w:ind w:firstLine="480" w:firstLineChars="200"/>
        <w:outlineLvl w:val="1"/>
        <w:rPr>
          <w:rFonts w:ascii="宋体"/>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1</w:t>
      </w:r>
      <w:r>
        <w:rPr>
          <w:rFonts w:hint="eastAsia" w:ascii="宋体" w:hAnsi="宋体" w:cs="宋体"/>
          <w:color w:val="000000" w:themeColor="text1"/>
          <w:sz w:val="24"/>
          <w:szCs w:val="24"/>
        </w:rPr>
        <w:t>）若总分相同，则按最终技术磋商响应评审得分高者优先中标。</w:t>
      </w:r>
    </w:p>
    <w:p>
      <w:pPr>
        <w:snapToGrid w:val="0"/>
        <w:spacing w:line="480" w:lineRule="exact"/>
        <w:ind w:firstLine="480" w:firstLineChars="200"/>
        <w:outlineLvl w:val="1"/>
        <w:rPr>
          <w:rFonts w:ascii="宋体"/>
          <w:dstrike/>
          <w:color w:val="000000" w:themeColor="text1"/>
          <w:sz w:val="24"/>
          <w:szCs w:val="24"/>
        </w:rPr>
      </w:pPr>
      <w:r>
        <w:rPr>
          <w:rFonts w:hint="eastAsia" w:ascii="宋体" w:hAnsi="宋体" w:cs="宋体"/>
          <w:color w:val="000000" w:themeColor="text1"/>
          <w:sz w:val="24"/>
          <w:szCs w:val="24"/>
        </w:rPr>
        <w:t>（</w:t>
      </w:r>
      <w:r>
        <w:rPr>
          <w:rFonts w:ascii="宋体" w:hAnsi="宋体" w:cs="宋体"/>
          <w:color w:val="000000" w:themeColor="text1"/>
          <w:sz w:val="24"/>
          <w:szCs w:val="24"/>
        </w:rPr>
        <w:t>2</w:t>
      </w:r>
      <w:r>
        <w:rPr>
          <w:rFonts w:hint="eastAsia" w:ascii="宋体" w:hAnsi="宋体" w:cs="宋体"/>
          <w:color w:val="000000" w:themeColor="text1"/>
          <w:sz w:val="24"/>
          <w:szCs w:val="24"/>
        </w:rPr>
        <w:t>）若总分且最终报价得分相同，则采取现场抽签的方式确定（由供应商按递交响应文件签到顺序号抽签确定）。</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8</w:t>
      </w:r>
      <w:r>
        <w:rPr>
          <w:rFonts w:hint="eastAsia" w:ascii="宋体" w:hAnsi="宋体" w:cs="宋体"/>
          <w:color w:val="000000" w:themeColor="text1"/>
          <w:sz w:val="24"/>
          <w:szCs w:val="24"/>
        </w:rPr>
        <w:t>、磋商评审时，评委对评审的细则若有争议，由磋商小组集体讨论确定，并对未尽情况有最终解释权。</w:t>
      </w:r>
    </w:p>
    <w:p>
      <w:pPr>
        <w:snapToGrid w:val="0"/>
        <w:spacing w:line="480" w:lineRule="exact"/>
        <w:ind w:firstLine="480" w:firstLineChars="200"/>
      </w:pPr>
      <w:r>
        <w:rPr>
          <w:rFonts w:ascii="宋体" w:hAnsi="宋体" w:cs="宋体"/>
          <w:color w:val="000000" w:themeColor="text1"/>
          <w:sz w:val="24"/>
          <w:szCs w:val="24"/>
        </w:rPr>
        <w:t>9</w:t>
      </w:r>
      <w:r>
        <w:rPr>
          <w:rFonts w:hint="eastAsia" w:ascii="宋体" w:hAnsi="宋体" w:cs="宋体"/>
          <w:color w:val="000000" w:themeColor="text1"/>
          <w:sz w:val="24"/>
          <w:szCs w:val="24"/>
        </w:rPr>
        <w:t>、对落标的供应商不做落标原因的解释。</w:t>
      </w:r>
    </w:p>
    <w:p>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五、综合评分评审标准</w:t>
      </w:r>
    </w:p>
    <w:bookmarkEnd w:id="71"/>
    <w:bookmarkEnd w:id="72"/>
    <w:bookmarkEnd w:id="73"/>
    <w:bookmarkEnd w:id="74"/>
    <w:bookmarkEnd w:id="75"/>
    <w:bookmarkEnd w:id="76"/>
    <w:bookmarkEnd w:id="77"/>
    <w:bookmarkEnd w:id="78"/>
    <w:p>
      <w:pPr>
        <w:widowControl/>
        <w:numPr>
          <w:ilvl w:val="0"/>
          <w:numId w:val="4"/>
        </w:numPr>
        <w:snapToGrid w:val="0"/>
        <w:spacing w:line="480" w:lineRule="exact"/>
        <w:ind w:firstLine="482" w:firstLineChars="200"/>
        <w:jc w:val="left"/>
        <w:rPr>
          <w:rFonts w:ascii="宋体" w:hAnsi="宋体" w:cs="宋体"/>
          <w:b/>
          <w:bCs/>
          <w:color w:val="000000" w:themeColor="text1"/>
          <w:kern w:val="0"/>
          <w:sz w:val="24"/>
          <w:szCs w:val="24"/>
        </w:rPr>
      </w:pPr>
      <w:bookmarkStart w:id="85" w:name="_Toc363573858"/>
      <w:bookmarkStart w:id="86" w:name="_Toc94585343"/>
      <w:r>
        <w:rPr>
          <w:rFonts w:hint="eastAsia" w:ascii="宋体" w:hAnsi="宋体" w:cs="宋体"/>
          <w:b/>
          <w:color w:val="000000" w:themeColor="text1"/>
          <w:sz w:val="24"/>
          <w:szCs w:val="24"/>
        </w:rPr>
        <w:t>技术标评分</w:t>
      </w:r>
      <w:r>
        <w:rPr>
          <w:rFonts w:hint="eastAsia" w:ascii="宋体" w:hAnsi="宋体" w:cs="宋体"/>
          <w:b/>
          <w:bCs/>
          <w:color w:val="000000" w:themeColor="text1"/>
          <w:kern w:val="0"/>
          <w:sz w:val="24"/>
          <w:szCs w:val="24"/>
        </w:rPr>
        <w:t xml:space="preserve">（70分） </w:t>
      </w:r>
    </w:p>
    <w:tbl>
      <w:tblPr>
        <w:tblStyle w:val="5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972"/>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vAlign w:val="center"/>
          </w:tcPr>
          <w:p>
            <w:pPr>
              <w:spacing w:line="360" w:lineRule="auto"/>
              <w:jc w:val="center"/>
              <w:rPr>
                <w:rFonts w:ascii="宋体" w:hAnsi="宋体"/>
                <w:b/>
                <w:bCs/>
              </w:rPr>
            </w:pPr>
            <w:r>
              <w:rPr>
                <w:rFonts w:hint="eastAsia" w:ascii="宋体" w:hAnsi="宋体"/>
                <w:b/>
                <w:bCs/>
              </w:rPr>
              <w:t>投标人综合实力（31分）</w:t>
            </w:r>
          </w:p>
        </w:tc>
        <w:tc>
          <w:tcPr>
            <w:tcW w:w="1972" w:type="dxa"/>
          </w:tcPr>
          <w:p>
            <w:pPr>
              <w:spacing w:line="360" w:lineRule="auto"/>
              <w:jc w:val="center"/>
              <w:rPr>
                <w:rFonts w:ascii="宋体" w:hAnsi="宋体"/>
                <w:sz w:val="24"/>
                <w:szCs w:val="20"/>
              </w:rPr>
            </w:pPr>
            <w:r>
              <w:rPr>
                <w:rFonts w:hint="eastAsia" w:ascii="宋体" w:hAnsi="宋体"/>
                <w:sz w:val="24"/>
                <w:szCs w:val="20"/>
              </w:rPr>
              <w:t>评价项目</w:t>
            </w:r>
          </w:p>
        </w:tc>
        <w:tc>
          <w:tcPr>
            <w:tcW w:w="6087" w:type="dxa"/>
          </w:tcPr>
          <w:p>
            <w:pPr>
              <w:spacing w:line="360" w:lineRule="auto"/>
              <w:jc w:val="center"/>
              <w:rPr>
                <w:rFonts w:ascii="宋体" w:hAnsi="宋体"/>
                <w:sz w:val="24"/>
                <w:szCs w:val="20"/>
              </w:rPr>
            </w:pPr>
            <w:r>
              <w:rPr>
                <w:rFonts w:hint="eastAsia" w:ascii="宋体" w:hAnsi="宋体"/>
                <w:sz w:val="24"/>
                <w:szCs w:val="20"/>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tcPr>
          <w:p>
            <w:pPr>
              <w:spacing w:line="360" w:lineRule="auto"/>
              <w:jc w:val="center"/>
              <w:rPr>
                <w:rFonts w:ascii="宋体" w:hAnsi="宋体"/>
                <w:b/>
                <w:bCs/>
              </w:rPr>
            </w:pPr>
          </w:p>
        </w:tc>
        <w:tc>
          <w:tcPr>
            <w:tcW w:w="1972" w:type="dxa"/>
            <w:vMerge w:val="restart"/>
            <w:vAlign w:val="center"/>
          </w:tcPr>
          <w:p>
            <w:pPr>
              <w:spacing w:before="65" w:line="228" w:lineRule="auto"/>
              <w:jc w:val="center"/>
              <w:rPr>
                <w:rFonts w:ascii="宋体" w:hAnsi="宋体"/>
              </w:rPr>
            </w:pPr>
            <w:r>
              <w:rPr>
                <w:rFonts w:ascii="宋体" w:hAnsi="宋体"/>
              </w:rPr>
              <w:t>企业资质</w:t>
            </w:r>
            <w:r>
              <w:rPr>
                <w:rFonts w:hint="eastAsia" w:ascii="宋体" w:hAnsi="宋体"/>
              </w:rPr>
              <w:t>（8分）</w:t>
            </w:r>
          </w:p>
        </w:tc>
        <w:tc>
          <w:tcPr>
            <w:tcW w:w="6087" w:type="dxa"/>
          </w:tcPr>
          <w:p>
            <w:pPr>
              <w:spacing w:before="51" w:line="288" w:lineRule="auto"/>
              <w:ind w:right="105"/>
              <w:jc w:val="left"/>
              <w:rPr>
                <w:rFonts w:ascii="宋体" w:hAnsi="宋体"/>
              </w:rPr>
            </w:pPr>
            <w:r>
              <w:rPr>
                <w:rFonts w:hint="eastAsia" w:ascii="宋体" w:hAnsi="宋体"/>
              </w:rPr>
              <w:t>供应商</w:t>
            </w:r>
            <w:r>
              <w:rPr>
                <w:rFonts w:ascii="宋体" w:hAnsi="宋体"/>
              </w:rPr>
              <w:t>具有</w:t>
            </w:r>
            <w:r>
              <w:rPr>
                <w:rFonts w:hint="eastAsia" w:ascii="宋体" w:hAnsi="宋体"/>
              </w:rPr>
              <w:t>实施认证资质得3</w:t>
            </w:r>
            <w:r>
              <w:rPr>
                <w:rFonts w:ascii="宋体" w:hAnsi="宋体"/>
              </w:rPr>
              <w:t>分</w:t>
            </w:r>
            <w:r>
              <w:rPr>
                <w:rFonts w:hint="eastAsia" w:ascii="宋体" w:hAnsi="宋体"/>
              </w:rPr>
              <w:t>，</w:t>
            </w:r>
            <w:r>
              <w:rPr>
                <w:rFonts w:ascii="宋体" w:hAnsi="宋体"/>
              </w:rPr>
              <w:t>具有HR</w:t>
            </w:r>
            <w:r>
              <w:rPr>
                <w:rFonts w:hint="eastAsia" w:ascii="宋体" w:hAnsi="宋体"/>
              </w:rPr>
              <w:t>实施认证资质</w:t>
            </w:r>
            <w:r>
              <w:rPr>
                <w:rFonts w:ascii="宋体" w:hAnsi="宋体"/>
              </w:rPr>
              <w:t>得</w:t>
            </w:r>
            <w:r>
              <w:rPr>
                <w:rFonts w:hint="eastAsia" w:ascii="宋体" w:hAnsi="宋体"/>
              </w:rPr>
              <w:t>2</w:t>
            </w:r>
            <w:r>
              <w:rPr>
                <w:rFonts w:ascii="宋体" w:hAnsi="宋体"/>
              </w:rPr>
              <w:t>分；</w:t>
            </w:r>
          </w:p>
          <w:p>
            <w:pPr>
              <w:spacing w:line="226" w:lineRule="auto"/>
              <w:jc w:val="left"/>
              <w:rPr>
                <w:rFonts w:ascii="宋体" w:hAnsi="宋体"/>
              </w:rPr>
            </w:pPr>
            <w:r>
              <w:rPr>
                <w:rFonts w:hint="eastAsia" w:ascii="宋体" w:hAnsi="宋体"/>
              </w:rPr>
              <w:t>拟投入现场的项目负责人</w:t>
            </w:r>
            <w:r>
              <w:rPr>
                <w:rFonts w:ascii="宋体" w:hAnsi="宋体"/>
              </w:rPr>
              <w:t>具</w:t>
            </w:r>
            <w:r>
              <w:rPr>
                <w:rFonts w:hint="eastAsia" w:ascii="宋体" w:hAnsi="宋体"/>
              </w:rPr>
              <w:t>有</w:t>
            </w:r>
            <w:r>
              <w:rPr>
                <w:rFonts w:ascii="宋体" w:hAnsi="宋体"/>
              </w:rPr>
              <w:t>项目管理师证书 (PMP)的，得3分。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tcPr>
          <w:p>
            <w:pPr>
              <w:spacing w:line="360" w:lineRule="auto"/>
              <w:jc w:val="center"/>
              <w:rPr>
                <w:rFonts w:ascii="宋体" w:hAnsi="宋体"/>
                <w:b/>
                <w:bCs/>
              </w:rPr>
            </w:pPr>
          </w:p>
        </w:tc>
        <w:tc>
          <w:tcPr>
            <w:tcW w:w="1972" w:type="dxa"/>
            <w:vMerge w:val="continue"/>
            <w:vAlign w:val="center"/>
          </w:tcPr>
          <w:p>
            <w:pPr>
              <w:spacing w:before="65" w:line="228" w:lineRule="auto"/>
              <w:ind w:left="125"/>
              <w:jc w:val="center"/>
              <w:rPr>
                <w:rFonts w:ascii="宋体" w:hAnsi="宋体"/>
              </w:rPr>
            </w:pPr>
          </w:p>
        </w:tc>
        <w:tc>
          <w:tcPr>
            <w:tcW w:w="6087" w:type="dxa"/>
          </w:tcPr>
          <w:p>
            <w:pPr>
              <w:spacing w:before="51" w:line="288" w:lineRule="auto"/>
              <w:ind w:right="105"/>
              <w:jc w:val="left"/>
              <w:rPr>
                <w:rFonts w:ascii="宋体" w:hAnsi="宋体"/>
              </w:rPr>
            </w:pPr>
            <w:r>
              <w:rPr>
                <w:rFonts w:hint="eastAsia" w:ascii="宋体" w:hAnsi="宋体"/>
              </w:rPr>
              <w:t>采购</w:t>
            </w:r>
            <w:r>
              <w:rPr>
                <w:rFonts w:ascii="宋体" w:hAnsi="宋体"/>
              </w:rPr>
              <w:t>文件要求提供的</w:t>
            </w:r>
            <w:r>
              <w:rPr>
                <w:rFonts w:hint="eastAsia" w:ascii="宋体" w:hAnsi="宋体"/>
              </w:rPr>
              <w:t>产品</w:t>
            </w:r>
            <w:r>
              <w:rPr>
                <w:rFonts w:ascii="宋体" w:hAnsi="宋体"/>
              </w:rPr>
              <w:t>资格证明文件是否齐全有效</w:t>
            </w:r>
            <w:r>
              <w:rPr>
                <w:rFonts w:hint="eastAsia" w:ascii="宋体" w:hAnsi="宋体"/>
              </w:rPr>
              <w:t>，合作伙伴公司需提供相应的产品资质官方截图，齐全有效得3分，否则不得分。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tcPr>
          <w:p>
            <w:pPr>
              <w:spacing w:line="360" w:lineRule="auto"/>
              <w:jc w:val="center"/>
              <w:rPr>
                <w:rFonts w:ascii="宋体" w:hAnsi="宋体"/>
                <w:b/>
                <w:bCs/>
              </w:rPr>
            </w:pPr>
          </w:p>
        </w:tc>
        <w:tc>
          <w:tcPr>
            <w:tcW w:w="1972" w:type="dxa"/>
            <w:vAlign w:val="center"/>
          </w:tcPr>
          <w:p>
            <w:pPr>
              <w:spacing w:before="65" w:line="228" w:lineRule="auto"/>
              <w:jc w:val="center"/>
              <w:rPr>
                <w:rFonts w:ascii="宋体" w:hAnsi="宋体"/>
              </w:rPr>
            </w:pPr>
            <w:r>
              <w:rPr>
                <w:rFonts w:ascii="宋体" w:hAnsi="宋体"/>
              </w:rPr>
              <w:t>同类业绩</w:t>
            </w:r>
            <w:r>
              <w:rPr>
                <w:rFonts w:hint="eastAsia" w:ascii="宋体" w:hAnsi="宋体"/>
              </w:rPr>
              <w:t>（15分）</w:t>
            </w:r>
          </w:p>
        </w:tc>
        <w:tc>
          <w:tcPr>
            <w:tcW w:w="6087" w:type="dxa"/>
          </w:tcPr>
          <w:p>
            <w:pPr>
              <w:spacing w:before="51" w:line="268" w:lineRule="auto"/>
              <w:ind w:right="105"/>
              <w:jc w:val="left"/>
              <w:rPr>
                <w:rFonts w:ascii="宋体" w:hAnsi="宋体"/>
              </w:rPr>
            </w:pPr>
            <w:r>
              <w:rPr>
                <w:rFonts w:hint="eastAsia" w:ascii="宋体" w:hAnsi="宋体"/>
              </w:rPr>
              <w:t>供应商自</w:t>
            </w:r>
            <w:r>
              <w:rPr>
                <w:rFonts w:ascii="宋体" w:hAnsi="宋体"/>
              </w:rPr>
              <w:t xml:space="preserve">2019 年 6 月 1 日至今 (以合同签订时间为准) </w:t>
            </w:r>
            <w:r>
              <w:rPr>
                <w:rFonts w:hint="eastAsia" w:ascii="宋体" w:hAnsi="宋体"/>
              </w:rPr>
              <w:t>承接过类似业绩，有一个得5分，最高15分。</w:t>
            </w:r>
            <w:r>
              <w:rPr>
                <w:rFonts w:ascii="宋体" w:hAnsi="宋体"/>
              </w:rPr>
              <w:t xml:space="preserve"> (</w:t>
            </w:r>
            <w:r>
              <w:rPr>
                <w:rFonts w:hint="eastAsia" w:ascii="宋体" w:hAnsi="宋体"/>
              </w:rPr>
              <w:t>提供合同复印件并加盖公章</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tcPr>
          <w:p>
            <w:pPr>
              <w:spacing w:line="360" w:lineRule="auto"/>
              <w:jc w:val="center"/>
              <w:rPr>
                <w:rFonts w:ascii="宋体" w:hAnsi="宋体"/>
                <w:b/>
                <w:bCs/>
              </w:rPr>
            </w:pPr>
          </w:p>
        </w:tc>
        <w:tc>
          <w:tcPr>
            <w:tcW w:w="1972" w:type="dxa"/>
            <w:vAlign w:val="center"/>
          </w:tcPr>
          <w:p>
            <w:pPr>
              <w:spacing w:before="65" w:line="228" w:lineRule="auto"/>
              <w:ind w:left="125"/>
              <w:jc w:val="center"/>
              <w:rPr>
                <w:rFonts w:ascii="宋体" w:hAnsi="宋体"/>
              </w:rPr>
            </w:pPr>
            <w:r>
              <w:rPr>
                <w:rFonts w:hint="eastAsia" w:ascii="宋体" w:hAnsi="宋体"/>
              </w:rPr>
              <w:t>方案可扩展（3分）</w:t>
            </w:r>
          </w:p>
        </w:tc>
        <w:tc>
          <w:tcPr>
            <w:tcW w:w="6087" w:type="dxa"/>
          </w:tcPr>
          <w:p>
            <w:pPr>
              <w:spacing w:line="360" w:lineRule="auto"/>
              <w:rPr>
                <w:rFonts w:ascii="宋体" w:hAnsi="宋体" w:cs="宋体"/>
              </w:rPr>
            </w:pPr>
            <w:r>
              <w:rPr>
                <w:rFonts w:hint="eastAsia" w:ascii="宋体" w:hAnsi="宋体" w:cs="宋体"/>
              </w:rPr>
              <w:t>参选人所提供产品应能够满足以下要求：</w:t>
            </w:r>
          </w:p>
          <w:p>
            <w:pPr>
              <w:numPr>
                <w:ilvl w:val="0"/>
                <w:numId w:val="5"/>
              </w:numPr>
              <w:spacing w:line="360" w:lineRule="auto"/>
              <w:rPr>
                <w:rFonts w:ascii="宋体" w:hAnsi="宋体" w:cs="宋体"/>
              </w:rPr>
            </w:pPr>
            <w:r>
              <w:rPr>
                <w:rFonts w:hint="eastAsia" w:ascii="宋体" w:hAnsi="宋体" w:cs="宋体"/>
              </w:rPr>
              <w:t>后期实施范围增加时，容量及处理效率不会进行大幅度变化</w:t>
            </w:r>
          </w:p>
          <w:p>
            <w:pPr>
              <w:numPr>
                <w:ilvl w:val="0"/>
                <w:numId w:val="5"/>
              </w:numPr>
              <w:spacing w:line="360" w:lineRule="auto"/>
              <w:rPr>
                <w:rFonts w:ascii="宋体" w:hAnsi="宋体" w:cs="宋体"/>
              </w:rPr>
            </w:pPr>
            <w:r>
              <w:rPr>
                <w:rFonts w:hint="eastAsia" w:ascii="宋体" w:hAnsi="宋体" w:cs="宋体"/>
              </w:rPr>
              <w:t>能够满足后期功能点新增，具有系统二次开发功能</w:t>
            </w:r>
          </w:p>
          <w:p>
            <w:pPr>
              <w:numPr>
                <w:ilvl w:val="0"/>
                <w:numId w:val="5"/>
              </w:numPr>
              <w:spacing w:line="360" w:lineRule="auto"/>
              <w:rPr>
                <w:rFonts w:ascii="宋体" w:hAnsi="宋体" w:cs="宋体"/>
              </w:rPr>
            </w:pPr>
            <w:r>
              <w:rPr>
                <w:rFonts w:hint="eastAsia" w:ascii="宋体" w:hAnsi="宋体" w:cs="宋体"/>
              </w:rPr>
              <w:t>能够随系统升级进行后台自动维护</w:t>
            </w:r>
          </w:p>
          <w:p>
            <w:pPr>
              <w:spacing w:before="51" w:line="268" w:lineRule="auto"/>
              <w:ind w:right="105"/>
              <w:jc w:val="left"/>
              <w:rPr>
                <w:rFonts w:ascii="宋体" w:hAnsi="宋体"/>
              </w:rPr>
            </w:pPr>
            <w:r>
              <w:rPr>
                <w:rFonts w:hint="eastAsia" w:ascii="宋体" w:hAnsi="宋体"/>
              </w:rPr>
              <w:t>具有以上功能得</w:t>
            </w:r>
            <w:r>
              <w:rPr>
                <w:rFonts w:ascii="宋体" w:hAnsi="宋体"/>
              </w:rPr>
              <w:t>3</w:t>
            </w:r>
            <w:r>
              <w:rPr>
                <w:rFonts w:hint="eastAsia" w:ascii="宋体" w:hAnsi="宋体"/>
              </w:rPr>
              <w:t>分，具有部分功能得</w:t>
            </w:r>
            <w:r>
              <w:rPr>
                <w:rFonts w:ascii="宋体" w:hAnsi="宋体"/>
              </w:rPr>
              <w:t>1</w:t>
            </w:r>
            <w:r>
              <w:rPr>
                <w:rFonts w:hint="eastAsia" w:ascii="宋体" w:hAnsi="宋体"/>
              </w:rPr>
              <w:t>分，不具有得0分。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continue"/>
          </w:tcPr>
          <w:p>
            <w:pPr>
              <w:spacing w:line="360" w:lineRule="auto"/>
              <w:jc w:val="center"/>
              <w:rPr>
                <w:rFonts w:ascii="宋体" w:hAnsi="宋体"/>
                <w:b/>
                <w:bCs/>
              </w:rPr>
            </w:pPr>
          </w:p>
        </w:tc>
        <w:tc>
          <w:tcPr>
            <w:tcW w:w="1972" w:type="dxa"/>
            <w:vAlign w:val="center"/>
          </w:tcPr>
          <w:p>
            <w:pPr>
              <w:spacing w:before="65" w:line="312" w:lineRule="exact"/>
              <w:jc w:val="center"/>
              <w:rPr>
                <w:rFonts w:ascii="宋体" w:hAnsi="宋体"/>
              </w:rPr>
            </w:pPr>
            <w:r>
              <w:rPr>
                <w:rFonts w:hint="eastAsia" w:ascii="宋体" w:hAnsi="宋体"/>
              </w:rPr>
              <w:t>实施人员资质（5分）</w:t>
            </w:r>
          </w:p>
        </w:tc>
        <w:tc>
          <w:tcPr>
            <w:tcW w:w="6087" w:type="dxa"/>
          </w:tcPr>
          <w:p>
            <w:pPr>
              <w:spacing w:before="51" w:line="273" w:lineRule="auto"/>
              <w:ind w:right="53"/>
              <w:jc w:val="left"/>
              <w:rPr>
                <w:rFonts w:ascii="宋体" w:hAnsi="宋体"/>
              </w:rPr>
            </w:pPr>
            <w:r>
              <w:rPr>
                <w:rFonts w:ascii="宋体" w:hAnsi="宋体"/>
              </w:rPr>
              <w:t>投标</w:t>
            </w:r>
            <w:r>
              <w:rPr>
                <w:rFonts w:hint="eastAsia" w:ascii="宋体" w:hAnsi="宋体"/>
              </w:rPr>
              <w:t>人派驻的实施人员具有E</w:t>
            </w:r>
            <w:r>
              <w:rPr>
                <w:rFonts w:ascii="宋体" w:hAnsi="宋体"/>
              </w:rPr>
              <w:t>RP</w:t>
            </w:r>
            <w:r>
              <w:rPr>
                <w:rFonts w:hint="eastAsia" w:ascii="宋体" w:hAnsi="宋体"/>
              </w:rPr>
              <w:t>产品实施认证资质</w:t>
            </w:r>
            <w:r>
              <w:rPr>
                <w:rFonts w:ascii="宋体" w:hAnsi="宋体"/>
              </w:rPr>
              <w:t>，得1分，</w:t>
            </w:r>
            <w:r>
              <w:rPr>
                <w:rFonts w:hint="eastAsia" w:ascii="宋体" w:hAnsi="宋体"/>
              </w:rPr>
              <w:t>最高3分。</w:t>
            </w:r>
          </w:p>
          <w:p>
            <w:pPr>
              <w:spacing w:before="51" w:line="273" w:lineRule="auto"/>
              <w:ind w:right="53"/>
              <w:jc w:val="left"/>
              <w:rPr>
                <w:rFonts w:ascii="宋体" w:hAnsi="宋体"/>
              </w:rPr>
            </w:pPr>
            <w:r>
              <w:rPr>
                <w:rFonts w:hint="eastAsia" w:ascii="宋体" w:hAnsi="宋体"/>
              </w:rPr>
              <w:t>投标人派驻的实施人员具有</w:t>
            </w:r>
            <w:r>
              <w:rPr>
                <w:rFonts w:ascii="宋体" w:hAnsi="宋体"/>
              </w:rPr>
              <w:t>HR</w:t>
            </w:r>
            <w:r>
              <w:rPr>
                <w:rFonts w:hint="eastAsia" w:ascii="宋体" w:hAnsi="宋体"/>
              </w:rPr>
              <w:t>产品实施认证资质</w:t>
            </w:r>
            <w:r>
              <w:rPr>
                <w:rFonts w:ascii="宋体" w:hAnsi="宋体"/>
              </w:rPr>
              <w:t>， 得 1 分，</w:t>
            </w:r>
            <w:r>
              <w:rPr>
                <w:rFonts w:hint="eastAsia" w:ascii="宋体" w:hAnsi="宋体"/>
              </w:rPr>
              <w:t>最高2分。</w:t>
            </w:r>
          </w:p>
          <w:p>
            <w:pPr>
              <w:spacing w:before="51" w:line="273" w:lineRule="auto"/>
              <w:ind w:right="53"/>
              <w:jc w:val="left"/>
              <w:rPr>
                <w:rFonts w:ascii="宋体" w:hAnsi="宋体"/>
              </w:rPr>
            </w:pPr>
            <w:r>
              <w:rPr>
                <w:rFonts w:ascii="宋体" w:hAnsi="宋体"/>
              </w:rPr>
              <w:t>不具备能力的得 0 分 (以证书复印件及相关证明材料为依据；否则，不得分)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restart"/>
            <w:vAlign w:val="center"/>
          </w:tcPr>
          <w:p>
            <w:pPr>
              <w:spacing w:line="360" w:lineRule="auto"/>
              <w:jc w:val="center"/>
              <w:rPr>
                <w:rFonts w:ascii="宋体" w:hAnsi="宋体"/>
                <w:b/>
                <w:bCs/>
              </w:rPr>
            </w:pPr>
            <w:r>
              <w:rPr>
                <w:rFonts w:hint="eastAsia" w:ascii="宋体" w:hAnsi="宋体"/>
                <w:b/>
                <w:bCs/>
              </w:rPr>
              <w:t>服务方案（39分）</w:t>
            </w:r>
          </w:p>
        </w:tc>
        <w:tc>
          <w:tcPr>
            <w:tcW w:w="1972" w:type="dxa"/>
            <w:vAlign w:val="center"/>
          </w:tcPr>
          <w:p>
            <w:pPr>
              <w:widowControl/>
              <w:jc w:val="center"/>
              <w:textAlignment w:val="center"/>
              <w:rPr>
                <w:rFonts w:ascii="宋体" w:hAnsi="宋体" w:cs="等线"/>
                <w:color w:val="000000"/>
              </w:rPr>
            </w:pPr>
            <w:r>
              <w:rPr>
                <w:rFonts w:hint="eastAsia" w:ascii="宋体" w:hAnsi="宋体" w:cs="等线"/>
                <w:color w:val="000000"/>
                <w:kern w:val="0"/>
              </w:rPr>
              <w:t>方案完整性</w:t>
            </w:r>
            <w:r>
              <w:rPr>
                <w:rFonts w:hint="eastAsia" w:cs="等线" w:asciiTheme="minorEastAsia" w:hAnsiTheme="minorEastAsia" w:eastAsiaTheme="minorEastAsia"/>
                <w:color w:val="000000"/>
                <w:kern w:val="0"/>
              </w:rPr>
              <w:t>（8分）</w:t>
            </w:r>
          </w:p>
        </w:tc>
        <w:tc>
          <w:tcPr>
            <w:tcW w:w="6087" w:type="dxa"/>
            <w:vAlign w:val="center"/>
          </w:tcPr>
          <w:p>
            <w:pPr>
              <w:spacing w:before="51" w:line="268" w:lineRule="auto"/>
              <w:ind w:right="105"/>
              <w:jc w:val="left"/>
              <w:rPr>
                <w:rFonts w:ascii="宋体" w:hAnsi="宋体"/>
              </w:rPr>
            </w:pPr>
            <w:r>
              <w:rPr>
                <w:rFonts w:hint="eastAsia" w:ascii="宋体" w:hAnsi="宋体"/>
              </w:rPr>
              <w:t>供应商需对本次项目全盘统筹考虑，提供完整方案，思路完整清晰，对本项目的特点有良好的认识。软件整体架构合理，便于未来可持续开展。满分8分，评分标准如下：</w:t>
            </w:r>
            <w:r>
              <w:rPr>
                <w:rFonts w:hint="eastAsia" w:ascii="宋体" w:hAnsi="宋体"/>
              </w:rPr>
              <w:br w:type="textWrapping"/>
            </w:r>
            <w:r>
              <w:rPr>
                <w:rFonts w:hint="eastAsia" w:ascii="宋体" w:hAnsi="宋体"/>
              </w:rPr>
              <w:t>方案完整、思路清晰，完全满足要求，得8分</w:t>
            </w:r>
            <w:r>
              <w:rPr>
                <w:rFonts w:hint="eastAsia" w:ascii="宋体" w:hAnsi="宋体"/>
              </w:rPr>
              <w:br w:type="textWrapping"/>
            </w:r>
            <w:r>
              <w:rPr>
                <w:rFonts w:hint="eastAsia" w:ascii="宋体" w:hAnsi="宋体"/>
              </w:rPr>
              <w:t>方案基本满足建设需求，得5分</w:t>
            </w:r>
            <w:r>
              <w:rPr>
                <w:rFonts w:hint="eastAsia" w:ascii="宋体" w:hAnsi="宋体"/>
              </w:rPr>
              <w:br w:type="textWrapping"/>
            </w:r>
            <w:r>
              <w:rPr>
                <w:rFonts w:hint="eastAsia" w:ascii="宋体" w:hAnsi="宋体"/>
              </w:rPr>
              <w:t>方案不完整或不能够完全满足，得2分。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continue"/>
          </w:tcPr>
          <w:p>
            <w:pPr>
              <w:spacing w:line="360" w:lineRule="auto"/>
              <w:rPr>
                <w:rFonts w:ascii="宋体" w:hAnsi="宋体"/>
                <w:b/>
                <w:bCs/>
              </w:rPr>
            </w:pPr>
          </w:p>
        </w:tc>
        <w:tc>
          <w:tcPr>
            <w:tcW w:w="1972" w:type="dxa"/>
            <w:vAlign w:val="center"/>
          </w:tcPr>
          <w:p>
            <w:pPr>
              <w:widowControl/>
              <w:jc w:val="center"/>
              <w:textAlignment w:val="center"/>
              <w:rPr>
                <w:rFonts w:ascii="宋体" w:hAnsi="宋体" w:cs="等线"/>
                <w:color w:val="000000"/>
              </w:rPr>
            </w:pPr>
            <w:r>
              <w:rPr>
                <w:rFonts w:hint="eastAsia" w:ascii="宋体" w:hAnsi="宋体" w:cs="等线"/>
                <w:color w:val="000000"/>
                <w:kern w:val="0"/>
              </w:rPr>
              <w:t>功能设计</w:t>
            </w:r>
            <w:r>
              <w:rPr>
                <w:rFonts w:hint="eastAsia" w:cs="等线" w:asciiTheme="minorEastAsia" w:hAnsiTheme="minorEastAsia" w:eastAsiaTheme="minorEastAsia"/>
                <w:color w:val="000000"/>
                <w:kern w:val="0"/>
              </w:rPr>
              <w:t>（8分）</w:t>
            </w:r>
          </w:p>
        </w:tc>
        <w:tc>
          <w:tcPr>
            <w:tcW w:w="6087" w:type="dxa"/>
            <w:vAlign w:val="center"/>
          </w:tcPr>
          <w:p>
            <w:pPr>
              <w:spacing w:before="51" w:line="268" w:lineRule="auto"/>
              <w:ind w:right="105"/>
              <w:jc w:val="left"/>
              <w:rPr>
                <w:rFonts w:ascii="宋体" w:hAnsi="宋体"/>
              </w:rPr>
            </w:pPr>
            <w:r>
              <w:rPr>
                <w:rFonts w:hint="eastAsia" w:ascii="宋体" w:hAnsi="宋体"/>
              </w:rPr>
              <w:t>供应商需对本次项目要求建设的各项功能进行详细的设计说明，对采购要求中的各项技术参数进行应答，提供相关产品技术或功能截图。满分8分，评分标准如下：</w:t>
            </w:r>
            <w:r>
              <w:rPr>
                <w:rFonts w:hint="eastAsia" w:ascii="宋体" w:hAnsi="宋体"/>
              </w:rPr>
              <w:br w:type="textWrapping"/>
            </w:r>
            <w:r>
              <w:rPr>
                <w:rFonts w:hint="eastAsia" w:ascii="宋体" w:hAnsi="宋体"/>
              </w:rPr>
              <w:t>功能设计完全满足招标技术参数，并且可以提供相关功能技术截图，得8分；</w:t>
            </w:r>
            <w:r>
              <w:rPr>
                <w:rFonts w:hint="eastAsia" w:ascii="宋体" w:hAnsi="宋体"/>
              </w:rPr>
              <w:br w:type="textWrapping"/>
            </w:r>
            <w:r>
              <w:rPr>
                <w:rFonts w:hint="eastAsia" w:ascii="宋体" w:hAnsi="宋体"/>
              </w:rPr>
              <w:t>功能设计基本满足招标技术参数，但无法完整提供相关功能技术截图，得5分；</w:t>
            </w:r>
            <w:r>
              <w:rPr>
                <w:rFonts w:hint="eastAsia" w:ascii="宋体" w:hAnsi="宋体"/>
              </w:rPr>
              <w:br w:type="textWrapping"/>
            </w:r>
            <w:r>
              <w:rPr>
                <w:rFonts w:hint="eastAsia" w:ascii="宋体" w:hAnsi="宋体"/>
              </w:rPr>
              <w:t>功能设计不完整且无法完整提供功能技术截图，得2分。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continue"/>
          </w:tcPr>
          <w:p>
            <w:pPr>
              <w:spacing w:line="360" w:lineRule="auto"/>
              <w:rPr>
                <w:rFonts w:ascii="宋体" w:hAnsi="宋体"/>
                <w:b/>
                <w:bCs/>
              </w:rPr>
            </w:pPr>
          </w:p>
        </w:tc>
        <w:tc>
          <w:tcPr>
            <w:tcW w:w="1972" w:type="dxa"/>
            <w:vAlign w:val="center"/>
          </w:tcPr>
          <w:p>
            <w:pPr>
              <w:widowControl/>
              <w:jc w:val="center"/>
              <w:textAlignment w:val="center"/>
              <w:rPr>
                <w:rFonts w:ascii="宋体" w:hAnsi="宋体" w:cs="等线"/>
                <w:color w:val="000000"/>
              </w:rPr>
            </w:pPr>
            <w:r>
              <w:rPr>
                <w:rFonts w:hint="eastAsia" w:ascii="宋体" w:hAnsi="宋体" w:cs="等线"/>
                <w:color w:val="000000"/>
                <w:kern w:val="0"/>
              </w:rPr>
              <w:t>系统可靠性、先进性、 稳定性、安全性指标</w:t>
            </w:r>
            <w:r>
              <w:rPr>
                <w:rFonts w:hint="eastAsia" w:cs="等线" w:asciiTheme="minorEastAsia" w:hAnsiTheme="minorEastAsia" w:eastAsiaTheme="minorEastAsia"/>
                <w:color w:val="000000"/>
                <w:kern w:val="0"/>
              </w:rPr>
              <w:t>（4分）</w:t>
            </w:r>
          </w:p>
        </w:tc>
        <w:tc>
          <w:tcPr>
            <w:tcW w:w="6087" w:type="dxa"/>
            <w:vAlign w:val="center"/>
          </w:tcPr>
          <w:p>
            <w:pPr>
              <w:spacing w:before="51" w:line="268" w:lineRule="auto"/>
              <w:ind w:right="105"/>
              <w:jc w:val="left"/>
              <w:rPr>
                <w:rFonts w:ascii="宋体" w:hAnsi="宋体"/>
              </w:rPr>
            </w:pPr>
            <w:r>
              <w:rPr>
                <w:rFonts w:hint="eastAsia" w:ascii="宋体" w:hAnsi="宋体"/>
              </w:rPr>
              <w:t>软件产品性能和技术指标需满足招标文件要求。技术路线与设计理念先进、可行，便于扩展和维护。满分4分，评分标准如下：</w:t>
            </w:r>
            <w:r>
              <w:rPr>
                <w:rFonts w:hint="eastAsia" w:ascii="宋体" w:hAnsi="宋体"/>
              </w:rPr>
              <w:br w:type="textWrapping"/>
            </w:r>
            <w:r>
              <w:rPr>
                <w:rFonts w:hint="eastAsia" w:ascii="宋体" w:hAnsi="宋体"/>
              </w:rPr>
              <w:t>方案技术路线描述清晰，理念先进可行，安全设计合理可行，得4分；</w:t>
            </w:r>
            <w:r>
              <w:rPr>
                <w:rFonts w:hint="eastAsia" w:ascii="宋体" w:hAnsi="宋体"/>
              </w:rPr>
              <w:br w:type="textWrapping"/>
            </w:r>
            <w:r>
              <w:rPr>
                <w:rFonts w:hint="eastAsia" w:ascii="宋体" w:hAnsi="宋体"/>
              </w:rPr>
              <w:t>方案技术设计路线基本满足要求，得2分；</w:t>
            </w:r>
            <w:r>
              <w:rPr>
                <w:rFonts w:hint="eastAsia" w:ascii="宋体" w:hAnsi="宋体"/>
              </w:rPr>
              <w:br w:type="textWrapping"/>
            </w:r>
            <w:r>
              <w:rPr>
                <w:rFonts w:hint="eastAsia" w:ascii="宋体" w:hAnsi="宋体"/>
              </w:rPr>
              <w:t>方案技术设计线路不能满足要求，不得分。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continue"/>
          </w:tcPr>
          <w:p>
            <w:pPr>
              <w:spacing w:line="360" w:lineRule="auto"/>
              <w:rPr>
                <w:rFonts w:ascii="宋体" w:hAnsi="宋体"/>
                <w:b/>
                <w:bCs/>
              </w:rPr>
            </w:pPr>
          </w:p>
        </w:tc>
        <w:tc>
          <w:tcPr>
            <w:tcW w:w="1972" w:type="dxa"/>
            <w:vAlign w:val="center"/>
          </w:tcPr>
          <w:p>
            <w:pPr>
              <w:widowControl/>
              <w:jc w:val="center"/>
              <w:textAlignment w:val="center"/>
              <w:rPr>
                <w:rFonts w:ascii="宋体" w:hAnsi="宋体" w:cs="等线"/>
                <w:color w:val="000000"/>
              </w:rPr>
            </w:pPr>
            <w:r>
              <w:rPr>
                <w:rFonts w:hint="eastAsia" w:ascii="宋体" w:hAnsi="宋体" w:cs="等线"/>
                <w:color w:val="000000"/>
                <w:kern w:val="0"/>
              </w:rPr>
              <w:t>项目实施方案</w:t>
            </w:r>
            <w:r>
              <w:rPr>
                <w:rFonts w:hint="eastAsia" w:cs="等线" w:asciiTheme="minorEastAsia" w:hAnsiTheme="minorEastAsia" w:eastAsiaTheme="minorEastAsia"/>
                <w:color w:val="000000"/>
                <w:kern w:val="0"/>
              </w:rPr>
              <w:t>（10分）</w:t>
            </w:r>
          </w:p>
        </w:tc>
        <w:tc>
          <w:tcPr>
            <w:tcW w:w="6087" w:type="dxa"/>
            <w:vAlign w:val="center"/>
          </w:tcPr>
          <w:p>
            <w:pPr>
              <w:spacing w:before="51" w:line="268" w:lineRule="auto"/>
              <w:ind w:right="105"/>
              <w:jc w:val="left"/>
              <w:rPr>
                <w:rFonts w:ascii="宋体" w:hAnsi="宋体"/>
              </w:rPr>
            </w:pPr>
            <w:r>
              <w:rPr>
                <w:rFonts w:hint="eastAsia" w:ascii="宋体" w:hAnsi="宋体"/>
              </w:rPr>
              <w:t>供应商需对本次采购项目的实施过程和方式进行详细设计，包括项目实施计划、管理及配套措施合理，管理标准与规范，提供完整、可行的施工、运行维护的应急预案。满分10分，评分标准如下：</w:t>
            </w:r>
            <w:r>
              <w:rPr>
                <w:rFonts w:hint="eastAsia" w:ascii="宋体" w:hAnsi="宋体"/>
              </w:rPr>
              <w:br w:type="textWrapping"/>
            </w:r>
            <w:r>
              <w:rPr>
                <w:rFonts w:hint="eastAsia" w:ascii="宋体" w:hAnsi="宋体"/>
              </w:rPr>
              <w:t>实施方案计划清晰且符合要求，管理流程标准符合规范，具备完整可行的实施和维护方案，得10分；</w:t>
            </w:r>
            <w:r>
              <w:rPr>
                <w:rFonts w:hint="eastAsia" w:ascii="宋体" w:hAnsi="宋体"/>
              </w:rPr>
              <w:br w:type="textWrapping"/>
            </w:r>
            <w:r>
              <w:rPr>
                <w:rFonts w:hint="eastAsia" w:ascii="宋体" w:hAnsi="宋体"/>
              </w:rPr>
              <w:t>整体方案计划、管理流程、标准规范基本符合要求，得7分；</w:t>
            </w:r>
            <w:r>
              <w:rPr>
                <w:rFonts w:hint="eastAsia" w:ascii="宋体" w:hAnsi="宋体"/>
              </w:rPr>
              <w:br w:type="textWrapping"/>
            </w:r>
            <w:r>
              <w:rPr>
                <w:rFonts w:hint="eastAsia" w:ascii="宋体" w:hAnsi="宋体"/>
              </w:rPr>
              <w:t>整体方案不完整或不能完全符合招标要求规定，得4分。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continue"/>
          </w:tcPr>
          <w:p>
            <w:pPr>
              <w:spacing w:line="360" w:lineRule="auto"/>
              <w:rPr>
                <w:rFonts w:ascii="宋体" w:hAnsi="宋体"/>
                <w:b/>
                <w:bCs/>
              </w:rPr>
            </w:pPr>
          </w:p>
        </w:tc>
        <w:tc>
          <w:tcPr>
            <w:tcW w:w="1972" w:type="dxa"/>
            <w:vAlign w:val="center"/>
          </w:tcPr>
          <w:p>
            <w:pPr>
              <w:widowControl/>
              <w:jc w:val="center"/>
              <w:textAlignment w:val="center"/>
              <w:rPr>
                <w:rFonts w:ascii="宋体" w:hAnsi="宋体" w:cs="等线"/>
                <w:color w:val="000000"/>
              </w:rPr>
            </w:pPr>
            <w:r>
              <w:rPr>
                <w:rFonts w:hint="eastAsia" w:ascii="宋体" w:hAnsi="宋体" w:cs="等线"/>
                <w:color w:val="000000"/>
                <w:kern w:val="0"/>
              </w:rPr>
              <w:t>售后服务及质量保障措施</w:t>
            </w:r>
            <w:r>
              <w:rPr>
                <w:rFonts w:hint="eastAsia" w:cs="等线" w:asciiTheme="minorEastAsia" w:hAnsiTheme="minorEastAsia" w:eastAsiaTheme="minorEastAsia"/>
                <w:color w:val="000000"/>
                <w:kern w:val="0"/>
              </w:rPr>
              <w:t>（5分）</w:t>
            </w:r>
          </w:p>
        </w:tc>
        <w:tc>
          <w:tcPr>
            <w:tcW w:w="6087" w:type="dxa"/>
            <w:vAlign w:val="center"/>
          </w:tcPr>
          <w:p>
            <w:pPr>
              <w:spacing w:before="51" w:line="268" w:lineRule="auto"/>
              <w:ind w:right="105"/>
              <w:jc w:val="left"/>
              <w:rPr>
                <w:rFonts w:ascii="宋体" w:hAnsi="宋体"/>
              </w:rPr>
            </w:pPr>
            <w:r>
              <w:rPr>
                <w:rFonts w:hint="eastAsia" w:ascii="宋体" w:hAnsi="宋体"/>
              </w:rPr>
              <w:t>对产品质量、系统维护、响应时间等售后服务要有明确的承诺，满足标书内容的各项要求，所承诺的项目质量保证、服务措施等具体可行，且配套完善；有很好的技术服务支撑体系；承诺3年以上免费运维。 根据方案具体响应情况给予评分，满分5分，完全响应且满足要求得5分；部分满足得3分；完全不满足不得分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81" w:type="dxa"/>
            <w:vMerge w:val="continue"/>
          </w:tcPr>
          <w:p>
            <w:pPr>
              <w:spacing w:line="360" w:lineRule="auto"/>
              <w:rPr>
                <w:rFonts w:ascii="宋体" w:hAnsi="宋体"/>
                <w:b/>
                <w:bCs/>
              </w:rPr>
            </w:pPr>
          </w:p>
        </w:tc>
        <w:tc>
          <w:tcPr>
            <w:tcW w:w="1972" w:type="dxa"/>
            <w:vAlign w:val="center"/>
          </w:tcPr>
          <w:p>
            <w:pPr>
              <w:widowControl/>
              <w:jc w:val="center"/>
              <w:textAlignment w:val="center"/>
              <w:rPr>
                <w:rFonts w:ascii="宋体" w:hAnsi="宋体" w:cs="等线"/>
                <w:color w:val="000000"/>
              </w:rPr>
            </w:pPr>
            <w:r>
              <w:rPr>
                <w:rFonts w:hint="eastAsia" w:ascii="宋体" w:hAnsi="宋体" w:cs="等线"/>
                <w:color w:val="000000"/>
                <w:kern w:val="0"/>
              </w:rPr>
              <w:t>应用与培训</w:t>
            </w:r>
            <w:r>
              <w:rPr>
                <w:rFonts w:hint="eastAsia" w:cs="等线" w:asciiTheme="minorEastAsia" w:hAnsiTheme="minorEastAsia" w:eastAsiaTheme="minorEastAsia"/>
                <w:color w:val="000000"/>
                <w:kern w:val="0"/>
              </w:rPr>
              <w:t>（4分）</w:t>
            </w:r>
          </w:p>
        </w:tc>
        <w:tc>
          <w:tcPr>
            <w:tcW w:w="6087" w:type="dxa"/>
            <w:vAlign w:val="center"/>
          </w:tcPr>
          <w:p>
            <w:pPr>
              <w:spacing w:before="51" w:line="268" w:lineRule="auto"/>
              <w:ind w:right="105"/>
              <w:jc w:val="left"/>
              <w:rPr>
                <w:rFonts w:ascii="宋体" w:hAnsi="宋体"/>
              </w:rPr>
            </w:pPr>
            <w:r>
              <w:rPr>
                <w:rFonts w:hint="eastAsia" w:ascii="宋体" w:hAnsi="宋体"/>
              </w:rPr>
              <w:t>能根据项目特点，合理安排技术培训，提供分层次的、周密、完善的培训方案和培训计划。根据方案具体响应情况给予评分，满分4分。培训方案完整且完全满足要求得4分；培训方案基本满足要求2分； 培训方案不满足要求不得分；</w:t>
            </w:r>
          </w:p>
        </w:tc>
      </w:tr>
    </w:tbl>
    <w:p>
      <w:pPr>
        <w:pStyle w:val="2"/>
        <w:ind w:firstLine="480"/>
      </w:pPr>
    </w:p>
    <w:p>
      <w:pPr>
        <w:snapToGrid w:val="0"/>
        <w:spacing w:line="480" w:lineRule="exact"/>
        <w:contextualSpacing/>
        <w:outlineLvl w:val="1"/>
        <w:rPr>
          <w:rFonts w:ascii="宋体" w:hAnsi="宋体" w:cs="宋体"/>
          <w:color w:val="000000" w:themeColor="text1"/>
          <w:sz w:val="24"/>
          <w:szCs w:val="24"/>
        </w:rPr>
      </w:pPr>
      <w:r>
        <w:rPr>
          <w:rFonts w:hint="eastAsia" w:ascii="宋体" w:hAnsi="宋体" w:cs="宋体"/>
          <w:color w:val="000000" w:themeColor="text1"/>
          <w:sz w:val="24"/>
          <w:szCs w:val="24"/>
        </w:rPr>
        <w:t>注：1、供应商应按上表要求提供相关证明文件并加盖公章，原件备查。</w:t>
      </w:r>
    </w:p>
    <w:p>
      <w:pPr>
        <w:snapToGrid w:val="0"/>
        <w:spacing w:line="480" w:lineRule="exact"/>
        <w:ind w:firstLine="480" w:firstLineChars="200"/>
        <w:contextualSpacing/>
        <w:outlineLvl w:val="1"/>
        <w:rPr>
          <w:rFonts w:ascii="宋体" w:hAnsi="宋体" w:cs="宋体"/>
          <w:color w:val="000000" w:themeColor="text1"/>
          <w:sz w:val="24"/>
          <w:szCs w:val="24"/>
        </w:rPr>
      </w:pPr>
      <w:r>
        <w:rPr>
          <w:rFonts w:hint="eastAsia" w:ascii="宋体" w:hAnsi="宋体" w:cs="宋体"/>
          <w:color w:val="000000" w:themeColor="text1"/>
          <w:sz w:val="24"/>
          <w:szCs w:val="24"/>
        </w:rPr>
        <w:t>2、以上打分项设得分上限，评委依据招标文件载明的方法评分，评分四舍五入精确到小数点后两位。供应商应按上表要求提供相关证明文件并加盖公章。</w:t>
      </w:r>
    </w:p>
    <w:p>
      <w:pPr>
        <w:snapToGrid w:val="0"/>
        <w:spacing w:line="480" w:lineRule="exact"/>
        <w:ind w:firstLine="480" w:firstLineChars="200"/>
        <w:contextualSpacing/>
        <w:outlineLvl w:val="1"/>
        <w:rPr>
          <w:rFonts w:ascii="宋体" w:hAnsi="宋体" w:cs="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、提供以上评标标准每项内容在投标文件中响应部分的页码。</w:t>
      </w:r>
    </w:p>
    <w:p>
      <w:pPr>
        <w:snapToGrid w:val="0"/>
        <w:spacing w:line="480" w:lineRule="exact"/>
        <w:ind w:firstLine="482" w:firstLineChars="200"/>
        <w:rPr>
          <w:rFonts w:ascii="宋体"/>
          <w:b/>
          <w:bCs/>
          <w:color w:val="000000" w:themeColor="text1"/>
          <w:sz w:val="24"/>
          <w:szCs w:val="24"/>
        </w:rPr>
      </w:pPr>
      <w:r>
        <w:rPr>
          <w:rFonts w:hint="eastAsia" w:ascii="宋体" w:hAnsi="宋体" w:cs="宋体"/>
          <w:b/>
          <w:bCs/>
          <w:color w:val="000000" w:themeColor="text1"/>
          <w:sz w:val="24"/>
          <w:szCs w:val="24"/>
        </w:rPr>
        <w:t>（二）商务报价响应评分：（30分）</w:t>
      </w:r>
    </w:p>
    <w:p>
      <w:pPr>
        <w:snapToGrid w:val="0"/>
        <w:spacing w:line="480" w:lineRule="exact"/>
        <w:ind w:firstLine="570"/>
        <w:rPr>
          <w:rFonts w:ascii="宋体" w:hAnsi="宋体" w:cs="宋体"/>
          <w:b/>
          <w:color w:val="000000" w:themeColor="text1"/>
          <w:sz w:val="24"/>
          <w:szCs w:val="24"/>
        </w:rPr>
      </w:pPr>
      <w:r>
        <w:rPr>
          <w:rFonts w:hint="eastAsia" w:ascii="宋体" w:hAnsi="宋体" w:cs="宋体"/>
          <w:color w:val="000000" w:themeColor="text1"/>
          <w:sz w:val="24"/>
          <w:szCs w:val="24"/>
        </w:rPr>
        <w:t>1、</w:t>
      </w:r>
      <w:r>
        <w:rPr>
          <w:rFonts w:hint="eastAsia" w:ascii="宋体" w:hAnsi="宋体" w:cs="宋体"/>
          <w:b/>
          <w:color w:val="000000" w:themeColor="text1"/>
          <w:sz w:val="24"/>
          <w:szCs w:val="24"/>
        </w:rPr>
        <w:t>本次项目最高限价为135万元。超过限价作无效投标处理。</w:t>
      </w:r>
    </w:p>
    <w:p>
      <w:pPr>
        <w:snapToGrid w:val="0"/>
        <w:spacing w:line="480" w:lineRule="exact"/>
        <w:ind w:firstLine="570"/>
        <w:rPr>
          <w:rFonts w:ascii="宋体" w:hAnsi="宋体" w:cs="宋体"/>
          <w:color w:val="000000" w:themeColor="text1"/>
          <w:sz w:val="24"/>
          <w:szCs w:val="24"/>
        </w:rPr>
      </w:pPr>
      <w:r>
        <w:rPr>
          <w:rFonts w:hint="eastAsia" w:ascii="宋体" w:hAnsi="宋体" w:cs="宋体"/>
          <w:color w:val="000000" w:themeColor="text1"/>
          <w:sz w:val="24"/>
          <w:szCs w:val="24"/>
        </w:rPr>
        <w:t>2、满足招标文件要求且投标报价最低的报价为评标基准价，其商务标得分为满分。</w:t>
      </w:r>
    </w:p>
    <w:p>
      <w:pPr>
        <w:snapToGrid w:val="0"/>
        <w:spacing w:line="480" w:lineRule="exact"/>
        <w:ind w:firstLine="570"/>
        <w:rPr>
          <w:rFonts w:ascii="宋体" w:hAnsi="宋体" w:cs="宋体"/>
          <w:color w:val="000000" w:themeColor="text1"/>
          <w:sz w:val="24"/>
          <w:szCs w:val="24"/>
        </w:rPr>
      </w:pPr>
      <w:r>
        <w:rPr>
          <w:rFonts w:hint="eastAsia" w:ascii="宋体" w:hAnsi="宋体" w:cs="宋体"/>
          <w:color w:val="000000" w:themeColor="text1"/>
          <w:sz w:val="24"/>
          <w:szCs w:val="24"/>
        </w:rPr>
        <w:t>3、其他投标供应商的商务标得分分别按照下列公式计算：</w:t>
      </w:r>
    </w:p>
    <w:p>
      <w:pPr>
        <w:snapToGrid w:val="0"/>
        <w:spacing w:line="480" w:lineRule="exact"/>
        <w:ind w:firstLine="570"/>
        <w:rPr>
          <w:rFonts w:ascii="宋体" w:hAnsi="宋体" w:cs="宋体"/>
          <w:color w:val="000000" w:themeColor="text1"/>
          <w:sz w:val="24"/>
          <w:szCs w:val="24"/>
        </w:rPr>
      </w:pPr>
      <w:r>
        <w:rPr>
          <w:rFonts w:hint="eastAsia" w:ascii="宋体" w:hAnsi="宋体" w:cs="宋体"/>
          <w:color w:val="000000" w:themeColor="text1"/>
          <w:sz w:val="24"/>
          <w:szCs w:val="24"/>
        </w:rPr>
        <w:t xml:space="preserve">   商务标得分 =（评标基准价/投标报价）×30%×100</w:t>
      </w:r>
    </w:p>
    <w:p>
      <w:pPr>
        <w:snapToGrid w:val="0"/>
        <w:spacing w:line="480" w:lineRule="exact"/>
        <w:ind w:firstLine="890" w:firstLineChars="371"/>
        <w:rPr>
          <w:rFonts w:ascii="宋体" w:hAnsi="宋体" w:cs="宋体"/>
          <w:color w:val="000000" w:themeColor="text1"/>
          <w:sz w:val="24"/>
          <w:szCs w:val="24"/>
        </w:rPr>
      </w:pPr>
      <w:r>
        <w:rPr>
          <w:rFonts w:hint="eastAsia" w:ascii="宋体" w:hAnsi="宋体" w:cs="宋体"/>
          <w:color w:val="000000" w:themeColor="text1"/>
          <w:sz w:val="24"/>
          <w:szCs w:val="24"/>
        </w:rPr>
        <w:t>（得分保留2位小数）</w:t>
      </w:r>
    </w:p>
    <w:p>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六、出现下列情形之一的，作无效响应处理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、响应文件未按磋商文件要求装订、密封、签署、盖章及主要资料不齐全的；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、响应文件的资料有虚报或者谎报的；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、响应文件中资格审查文件及技术响应文件出现磋商报价的内容；</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、不具备磋商文件规定的资格要求的；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、响应文件有重大漏项或重大不合理的；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、项目技术、方案不满足项目需求中的要求，有重大偏离或保留的；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7</w:t>
      </w:r>
      <w:r>
        <w:rPr>
          <w:rFonts w:hint="eastAsia" w:ascii="宋体" w:hAnsi="宋体" w:cs="宋体"/>
          <w:color w:val="000000" w:themeColor="text1"/>
          <w:sz w:val="24"/>
          <w:szCs w:val="24"/>
        </w:rPr>
        <w:t>、磋商响应报价超出项目预算的；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8</w:t>
      </w:r>
      <w:r>
        <w:rPr>
          <w:rFonts w:hint="eastAsia" w:ascii="宋体" w:hAnsi="宋体" w:cs="宋体"/>
          <w:color w:val="000000" w:themeColor="text1"/>
          <w:sz w:val="24"/>
          <w:szCs w:val="24"/>
        </w:rPr>
        <w:t>、被认定为低于成本报价磋商竞标的；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9</w:t>
      </w:r>
      <w:r>
        <w:rPr>
          <w:rFonts w:hint="eastAsia" w:ascii="宋体" w:hAnsi="宋体" w:cs="宋体"/>
          <w:color w:val="000000" w:themeColor="text1"/>
          <w:sz w:val="24"/>
          <w:szCs w:val="24"/>
        </w:rPr>
        <w:t>、供应商的磋商报价高于自己前一轮的；</w:t>
      </w:r>
    </w:p>
    <w:p>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10</w:t>
      </w:r>
      <w:r>
        <w:rPr>
          <w:rFonts w:hint="eastAsia" w:ascii="宋体" w:hAnsi="宋体" w:cs="宋体"/>
          <w:color w:val="000000" w:themeColor="text1"/>
          <w:sz w:val="24"/>
          <w:szCs w:val="24"/>
        </w:rPr>
        <w:t>、不符合法律、法规和磋商文件中规定的其他实质性响应要求的；</w:t>
      </w:r>
    </w:p>
    <w:p>
      <w:pPr>
        <w:snapToGrid w:val="0"/>
        <w:spacing w:line="480" w:lineRule="exact"/>
        <w:ind w:firstLine="480" w:firstLineChars="200"/>
        <w:rPr>
          <w:rFonts w:ascii="宋体" w:hAnsi="宋体" w:cs="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1、磋商小组依据法律法规可以认定为无效投标的其他情况。</w:t>
      </w:r>
    </w:p>
    <w:p>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七、出现下列情形之一的，作废标处理</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、供应商的报价均超出了采购预算，采购单位不能支付的；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、因情况变化，不再符合规定的竞争性磋商采购方式所适用情形的；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、出现影响采购公正的违法、违规行为的；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、因重大变故，采购任务取消的；</w:t>
      </w:r>
      <w:r>
        <w:rPr>
          <w:rFonts w:ascii="宋体"/>
          <w:color w:val="000000" w:themeColor="text1"/>
          <w:sz w:val="24"/>
          <w:szCs w:val="24"/>
        </w:rPr>
        <w:tab/>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、符合资格条件或者对招标文件作实质响应的投标供应商不足</w:t>
      </w:r>
      <w:r>
        <w:rPr>
          <w:rFonts w:ascii="宋体" w:hAnsi="宋体" w:cs="宋体"/>
          <w:color w:val="000000" w:themeColor="text1"/>
          <w:sz w:val="24"/>
          <w:szCs w:val="24"/>
        </w:rPr>
        <w:t>3</w:t>
      </w:r>
      <w:r>
        <w:rPr>
          <w:rFonts w:hint="eastAsia" w:ascii="宋体" w:hAnsi="宋体" w:cs="宋体"/>
          <w:color w:val="000000" w:themeColor="text1"/>
          <w:sz w:val="24"/>
          <w:szCs w:val="24"/>
        </w:rPr>
        <w:t>家的；</w:t>
      </w:r>
    </w:p>
    <w:p>
      <w:pPr>
        <w:snapToGrid w:val="0"/>
        <w:spacing w:line="48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、磋商小组依据法律法规可以认定为废标的其他情况。</w:t>
      </w:r>
    </w:p>
    <w:p>
      <w:pPr>
        <w:snapToGrid w:val="0"/>
        <w:spacing w:line="480" w:lineRule="exact"/>
        <w:ind w:firstLine="482" w:firstLineChars="200"/>
        <w:outlineLvl w:val="1"/>
        <w:rPr>
          <w:rFonts w:ascii="宋体"/>
          <w:b/>
          <w:bCs/>
          <w:color w:val="000000" w:themeColor="text1"/>
          <w:sz w:val="24"/>
          <w:szCs w:val="24"/>
        </w:rPr>
      </w:pPr>
      <w:r>
        <w:rPr>
          <w:rFonts w:hint="eastAsia" w:ascii="宋体" w:hAnsi="宋体" w:cs="宋体"/>
          <w:b/>
          <w:bCs/>
          <w:color w:val="000000" w:themeColor="text1"/>
          <w:sz w:val="24"/>
          <w:szCs w:val="24"/>
        </w:rPr>
        <w:t>八、成交通知</w:t>
      </w:r>
    </w:p>
    <w:p>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1、开标结束后，采购人自成交人确定之日起2个工作日公告成交结果。</w:t>
      </w:r>
    </w:p>
    <w:p>
      <w:pPr>
        <w:snapToGrid w:val="0"/>
        <w:spacing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2、成交公告期限为1个工作日，期限结束后向成交人发出《成交通知书》。</w:t>
      </w:r>
    </w:p>
    <w:p>
      <w:pPr>
        <w:snapToGrid w:val="0"/>
        <w:spacing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3、《成交通知书》一经发出，即具有法律效力。采购人、中标人依法承担法律责任。</w:t>
      </w:r>
    </w:p>
    <w:p>
      <w:pPr>
        <w:snapToGrid w:val="0"/>
        <w:spacing w:line="480" w:lineRule="exact"/>
        <w:ind w:firstLine="480" w:firstLineChars="200"/>
        <w:rPr>
          <w:rFonts w:ascii="宋体" w:hAnsi="宋体" w:cs="宋体"/>
          <w:color w:val="000000" w:themeColor="text1"/>
        </w:rPr>
      </w:pPr>
      <w:r>
        <w:rPr>
          <w:rFonts w:hint="eastAsia" w:ascii="宋体" w:hAnsi="宋体" w:cs="宋体"/>
          <w:color w:val="000000" w:themeColor="text1"/>
          <w:sz w:val="24"/>
          <w:szCs w:val="24"/>
        </w:rPr>
        <w:t>九、其他</w:t>
      </w:r>
    </w:p>
    <w:p>
      <w:pPr>
        <w:snapToGrid w:val="0"/>
        <w:spacing w:line="480" w:lineRule="exact"/>
        <w:ind w:firstLine="480" w:firstLineChars="200"/>
        <w:rPr>
          <w:rFonts w:ascii="宋体" w:hAnsi="宋体" w:cs="宋体"/>
          <w:color w:val="000000" w:themeColor="text1"/>
        </w:rPr>
      </w:pPr>
      <w:r>
        <w:rPr>
          <w:rFonts w:hint="eastAsia" w:ascii="宋体" w:hAnsi="宋体" w:cs="宋体"/>
          <w:color w:val="000000" w:themeColor="text1"/>
          <w:sz w:val="24"/>
          <w:szCs w:val="24"/>
        </w:rPr>
        <w:t>第一成交候选人原则上为成交人，成交价为其成交报价。当排名第一的成交候选人放弃成交、因不可抗力不能履行合同、不按照采购文件要求提交履约保证金，或者被查实存在影响成交结果的违法行为等情形，不符合成交条件的，招标人可以按照评标委员会提出的成交候选人名单排序依次确定其他成交候选人为成交人，也可以重新招标。</w:t>
      </w:r>
    </w:p>
    <w:bookmarkEnd w:id="85"/>
    <w:bookmarkEnd w:id="86"/>
    <w:p>
      <w:pPr>
        <w:snapToGrid w:val="0"/>
        <w:spacing w:line="480" w:lineRule="exact"/>
        <w:jc w:val="center"/>
        <w:rPr>
          <w:rFonts w:ascii="宋体" w:hAnsi="宋体" w:cs="宋体"/>
          <w:b/>
          <w:bCs/>
          <w:color w:val="000000" w:themeColor="text1"/>
          <w:w w:val="80"/>
          <w:sz w:val="44"/>
          <w:szCs w:val="44"/>
        </w:rPr>
      </w:pPr>
    </w:p>
    <w:p>
      <w:pPr>
        <w:snapToGrid w:val="0"/>
        <w:spacing w:line="480" w:lineRule="exact"/>
        <w:jc w:val="center"/>
        <w:rPr>
          <w:rFonts w:ascii="宋体" w:hAnsi="宋体" w:cs="宋体"/>
          <w:b/>
          <w:bCs/>
          <w:color w:val="000000" w:themeColor="text1"/>
          <w:w w:val="80"/>
          <w:sz w:val="44"/>
          <w:szCs w:val="44"/>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snapToGrid w:val="0"/>
        <w:spacing w:line="480" w:lineRule="exact"/>
        <w:jc w:val="center"/>
        <w:rPr>
          <w:rFonts w:ascii="宋体" w:hAnsi="宋体" w:cs="宋体"/>
          <w:color w:val="000000" w:themeColor="text1"/>
          <w:kern w:val="0"/>
          <w:sz w:val="24"/>
          <w:szCs w:val="24"/>
        </w:rPr>
      </w:pPr>
      <w:r>
        <w:rPr>
          <w:rFonts w:hint="eastAsia" w:ascii="宋体" w:hAnsi="宋体" w:cs="宋体"/>
          <w:b/>
          <w:bCs/>
          <w:color w:val="000000" w:themeColor="text1"/>
          <w:w w:val="80"/>
          <w:sz w:val="44"/>
          <w:szCs w:val="44"/>
        </w:rPr>
        <w:t>第五章  合同主要条款</w:t>
      </w:r>
    </w:p>
    <w:p>
      <w:pPr>
        <w:spacing w:before="249" w:line="449" w:lineRule="exact"/>
        <w:ind w:left="259"/>
        <w:jc w:val="center"/>
        <w:rPr>
          <w:rFonts w:ascii="宋体" w:hAnsi="宋体" w:cs="宋体" w:eastAsiaTheme="minorEastAsia"/>
          <w:color w:val="000000"/>
          <w:sz w:val="44"/>
          <w:szCs w:val="22"/>
        </w:rPr>
      </w:pPr>
      <w:r>
        <w:rPr>
          <w:rFonts w:ascii="宋体" w:hAnsi="宋体" w:eastAsia="Times New Roman" w:cs="宋体"/>
          <w:color w:val="000000"/>
          <w:sz w:val="44"/>
          <w:szCs w:val="22"/>
        </w:rPr>
        <w:t>合同</w:t>
      </w:r>
      <w:r>
        <w:rPr>
          <w:rFonts w:hint="eastAsia" w:ascii="宋体" w:hAnsi="宋体" w:cs="宋体" w:eastAsiaTheme="minorEastAsia"/>
          <w:color w:val="000000"/>
          <w:sz w:val="44"/>
          <w:szCs w:val="22"/>
        </w:rPr>
        <w:t>书</w:t>
      </w:r>
    </w:p>
    <w:p>
      <w:pPr>
        <w:spacing w:line="360" w:lineRule="auto"/>
        <w:ind w:firstLine="480"/>
        <w:rPr>
          <w:rFonts w:ascii="宋体" w:hAnsi="宋体"/>
          <w:sz w:val="24"/>
        </w:rPr>
      </w:pPr>
      <w:r>
        <w:rPr>
          <w:rFonts w:hint="eastAsia" w:ascii="宋体" w:hAnsi="宋体"/>
          <w:sz w:val="24"/>
        </w:rPr>
        <w:t>根据《中华人民共和国民法典》及有关法律法规，（下简称甲方）与公司（下简称乙方）本着精诚合作、公平合理的原则，经友好协商，就甲方委托乙方就</w:t>
      </w:r>
      <w:r>
        <w:rPr>
          <w:rFonts w:hint="eastAsia" w:ascii="宋体" w:hAnsi="宋体"/>
          <w:sz w:val="24"/>
          <w:u w:val="single"/>
        </w:rPr>
        <w:t xml:space="preserve">         （项目名称）</w:t>
      </w:r>
      <w:r>
        <w:rPr>
          <w:rFonts w:hint="eastAsia" w:ascii="宋体" w:hAnsi="宋体"/>
          <w:sz w:val="24"/>
        </w:rPr>
        <w:t>一事签订本协议，协议如下：</w:t>
      </w:r>
    </w:p>
    <w:p>
      <w:pPr>
        <w:spacing w:line="360" w:lineRule="auto"/>
        <w:ind w:firstLine="482"/>
        <w:rPr>
          <w:rFonts w:ascii="宋体" w:hAnsi="宋体"/>
          <w:b/>
          <w:sz w:val="24"/>
        </w:rPr>
      </w:pPr>
      <w:r>
        <w:rPr>
          <w:rFonts w:hint="eastAsia" w:ascii="宋体" w:hAnsi="宋体"/>
          <w:b/>
          <w:sz w:val="24"/>
        </w:rPr>
        <w:t>一、项目名称</w:t>
      </w:r>
    </w:p>
    <w:p>
      <w:pPr>
        <w:spacing w:line="360" w:lineRule="auto"/>
        <w:ind w:firstLine="480"/>
        <w:rPr>
          <w:rFonts w:ascii="宋体" w:hAnsi="宋体"/>
          <w:sz w:val="24"/>
          <w:u w:val="single"/>
        </w:rPr>
      </w:pPr>
    </w:p>
    <w:p>
      <w:pPr>
        <w:spacing w:line="360" w:lineRule="auto"/>
        <w:ind w:firstLine="482"/>
        <w:rPr>
          <w:rFonts w:ascii="宋体" w:hAnsi="宋体"/>
          <w:b/>
          <w:sz w:val="24"/>
        </w:rPr>
      </w:pPr>
      <w:r>
        <w:rPr>
          <w:rFonts w:hint="eastAsia" w:ascii="宋体" w:hAnsi="宋体"/>
          <w:b/>
          <w:sz w:val="24"/>
        </w:rPr>
        <w:t>二、项目实施内容</w:t>
      </w:r>
    </w:p>
    <w:p>
      <w:pPr>
        <w:spacing w:line="360" w:lineRule="auto"/>
        <w:ind w:firstLine="480"/>
        <w:rPr>
          <w:rFonts w:ascii="宋体" w:hAnsi="宋体"/>
          <w:sz w:val="24"/>
          <w:u w:val="single"/>
        </w:rPr>
      </w:pPr>
      <w:r>
        <w:rPr>
          <w:rFonts w:hint="eastAsia" w:ascii="宋体" w:hAnsi="宋体"/>
          <w:sz w:val="24"/>
          <w:u w:val="single"/>
        </w:rPr>
        <w:t>完成项目所有需求及目标，完成开发、安装、调试、试运行、培训、维保等相关服务，直至验收合格，交付使用的全过程，供应商提供的系统平台软件的功能必须满足项目需求内所载明的所有要求。</w:t>
      </w:r>
    </w:p>
    <w:p>
      <w:pPr>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kern w:val="0"/>
          <w:sz w:val="24"/>
          <w:szCs w:val="24"/>
          <w:lang w:val="zh-CN"/>
        </w:rPr>
        <w:t>三、服务标准</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1、</w:t>
      </w:r>
      <w:r>
        <w:rPr>
          <w:rFonts w:hint="eastAsia" w:ascii="宋体" w:hAnsi="宋体" w:cs="宋体"/>
          <w:color w:val="000000" w:themeColor="text1"/>
          <w:kern w:val="0"/>
          <w:sz w:val="24"/>
          <w:szCs w:val="24"/>
          <w:lang w:val="zh-CN"/>
        </w:rPr>
        <w:t>乙方应</w:t>
      </w:r>
      <w:r>
        <w:rPr>
          <w:rFonts w:hint="eastAsia" w:ascii="宋体" w:hAnsi="宋体" w:cs="宋体"/>
          <w:color w:val="000000"/>
          <w:kern w:val="0"/>
          <w:sz w:val="24"/>
          <w:szCs w:val="24"/>
          <w:lang w:val="zh-CN"/>
        </w:rPr>
        <w:t>建立健全的沟通管理机制，确保项目工作正常、良好、有效开展。</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2、</w:t>
      </w:r>
      <w:r>
        <w:rPr>
          <w:rFonts w:hint="eastAsia" w:ascii="宋体" w:hAnsi="宋体" w:cs="宋体"/>
          <w:color w:val="000000" w:themeColor="text1"/>
          <w:kern w:val="0"/>
          <w:sz w:val="24"/>
          <w:szCs w:val="24"/>
          <w:lang w:val="zh-CN"/>
        </w:rPr>
        <w:t>乙方</w:t>
      </w:r>
      <w:r>
        <w:rPr>
          <w:rFonts w:hint="eastAsia" w:ascii="宋体" w:hAnsi="宋体" w:cs="宋体"/>
          <w:color w:val="000000"/>
          <w:kern w:val="0"/>
          <w:sz w:val="24"/>
          <w:szCs w:val="24"/>
          <w:lang w:val="zh-CN"/>
        </w:rPr>
        <w:t>在实施至验收阶段需提供专业驻场服务，项目整体建设团队规模不少于</w:t>
      </w:r>
      <w:r>
        <w:rPr>
          <w:rFonts w:hint="eastAsia" w:ascii="宋体" w:hAnsi="宋体" w:cs="宋体"/>
          <w:color w:val="000000" w:themeColor="text1"/>
          <w:kern w:val="0"/>
          <w:sz w:val="24"/>
          <w:szCs w:val="24"/>
          <w:lang w:val="zh-CN"/>
        </w:rPr>
        <w:t>5</w:t>
      </w:r>
      <w:r>
        <w:rPr>
          <w:rFonts w:hint="eastAsia" w:ascii="宋体" w:hAnsi="宋体" w:cs="宋体"/>
          <w:color w:val="000000"/>
          <w:kern w:val="0"/>
          <w:sz w:val="24"/>
          <w:szCs w:val="24"/>
          <w:lang w:val="zh-CN"/>
        </w:rPr>
        <w:t>人。驻场服务人员需相对固定，如有变动须提前一个月告知。驻场服务人员上下班时间根据用户现场要求，进出现场要求着装大方整洁，遵守现场工作规范。</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3、</w:t>
      </w:r>
      <w:r>
        <w:rPr>
          <w:rFonts w:hint="eastAsia" w:ascii="宋体" w:hAnsi="宋体" w:cs="宋体"/>
          <w:color w:val="000000" w:themeColor="text1"/>
          <w:kern w:val="0"/>
          <w:sz w:val="24"/>
          <w:szCs w:val="24"/>
          <w:lang w:val="zh-CN"/>
        </w:rPr>
        <w:t>乙方</w:t>
      </w:r>
      <w:r>
        <w:rPr>
          <w:rFonts w:hint="eastAsia" w:ascii="宋体" w:hAnsi="宋体" w:cs="宋体"/>
          <w:color w:val="000000"/>
          <w:kern w:val="0"/>
          <w:sz w:val="24"/>
          <w:szCs w:val="24"/>
          <w:lang w:val="zh-CN"/>
        </w:rPr>
        <w:t>在项目验收后的免运期内需要提供不少于</w:t>
      </w:r>
      <w:r>
        <w:rPr>
          <w:rFonts w:hint="eastAsia" w:ascii="宋体" w:hAnsi="宋体" w:cs="宋体"/>
          <w:color w:val="000000" w:themeColor="text1"/>
          <w:kern w:val="0"/>
          <w:sz w:val="24"/>
          <w:szCs w:val="24"/>
          <w:lang w:val="zh-CN"/>
        </w:rPr>
        <w:t>1</w:t>
      </w:r>
      <w:r>
        <w:rPr>
          <w:rFonts w:hint="eastAsia" w:ascii="宋体" w:hAnsi="宋体" w:cs="宋体"/>
          <w:color w:val="000000"/>
          <w:kern w:val="0"/>
          <w:sz w:val="24"/>
          <w:szCs w:val="24"/>
          <w:lang w:val="zh-CN"/>
        </w:rPr>
        <w:t>人的5*8运维驻场服务，提供日常系统运维保障工作。驻场服务人员需相对固定，如有变动须提前一个月告知。驻场服务人员上下班时间根据用户现场要求，进出现场要求着装大方整洁，遵守现场工作规范。</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4、保障平台日常运行，发现故障第一时间响应并处理</w:t>
      </w:r>
      <w:r>
        <w:rPr>
          <w:rFonts w:hint="eastAsia" w:ascii="宋体" w:hAnsi="宋体" w:cs="宋体"/>
          <w:color w:val="000000" w:themeColor="text1"/>
          <w:kern w:val="0"/>
          <w:sz w:val="24"/>
          <w:szCs w:val="24"/>
          <w:lang w:val="zh-CN"/>
        </w:rPr>
        <w:t>。</w:t>
      </w:r>
      <w:r>
        <w:rPr>
          <w:rFonts w:hint="eastAsia" w:ascii="宋体" w:hAnsi="宋体" w:cs="宋体"/>
          <w:color w:val="000000"/>
          <w:kern w:val="0"/>
          <w:sz w:val="24"/>
          <w:szCs w:val="24"/>
          <w:lang w:val="zh-CN"/>
        </w:rPr>
        <w:t>建立故障报告单，对上报故障内容进行记录。若无法短时解决故障需尽快上报甲方，协调相关部门及协作厂商排除故障。</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5、驻场人员对涉及</w:t>
      </w:r>
      <w:r>
        <w:rPr>
          <w:rFonts w:hint="eastAsia" w:ascii="宋体" w:hAnsi="宋体" w:cs="宋体"/>
          <w:color w:val="000000" w:themeColor="text1"/>
          <w:kern w:val="0"/>
          <w:sz w:val="24"/>
          <w:szCs w:val="24"/>
          <w:lang w:val="zh-CN"/>
        </w:rPr>
        <w:t>内容</w:t>
      </w:r>
      <w:r>
        <w:rPr>
          <w:rFonts w:hint="eastAsia" w:ascii="宋体" w:hAnsi="宋体" w:cs="宋体"/>
          <w:color w:val="000000"/>
          <w:kern w:val="0"/>
          <w:sz w:val="24"/>
          <w:szCs w:val="24"/>
          <w:lang w:val="zh-CN"/>
        </w:rPr>
        <w:t>有保密义务和责任，入场后需单独签署并遵守保密协议。</w:t>
      </w:r>
    </w:p>
    <w:p>
      <w:pPr>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kern w:val="0"/>
          <w:sz w:val="24"/>
          <w:szCs w:val="24"/>
          <w:lang w:val="zh-CN"/>
        </w:rPr>
        <w:t>四、服务期限</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本项目建设实施服务期限为</w:t>
      </w:r>
      <w:r>
        <w:rPr>
          <w:rFonts w:hint="eastAsia" w:ascii="宋体" w:hAnsi="宋体" w:cs="宋体"/>
          <w:color w:val="000000" w:themeColor="text1"/>
          <w:kern w:val="0"/>
          <w:sz w:val="24"/>
          <w:szCs w:val="24"/>
          <w:lang w:val="zh-CN"/>
        </w:rPr>
        <w:t>1年</w:t>
      </w:r>
      <w:r>
        <w:rPr>
          <w:rFonts w:hint="eastAsia" w:ascii="宋体" w:hAnsi="宋体" w:cs="宋体"/>
          <w:color w:val="000000"/>
          <w:kern w:val="0"/>
          <w:sz w:val="24"/>
          <w:szCs w:val="24"/>
          <w:lang w:val="zh-CN"/>
        </w:rPr>
        <w:t>，在项目验收后提供3年的免费运维。</w:t>
      </w:r>
    </w:p>
    <w:p>
      <w:pPr>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kern w:val="0"/>
          <w:sz w:val="24"/>
          <w:szCs w:val="24"/>
          <w:lang w:val="zh-CN"/>
        </w:rPr>
        <w:t>五、服务响应时间</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themeColor="text1"/>
          <w:kern w:val="0"/>
          <w:sz w:val="24"/>
          <w:szCs w:val="24"/>
          <w:lang w:val="zh-CN"/>
        </w:rPr>
        <w:t>供应商</w:t>
      </w:r>
      <w:r>
        <w:rPr>
          <w:rFonts w:hint="eastAsia" w:ascii="宋体" w:hAnsi="宋体" w:cs="宋体"/>
          <w:color w:val="000000"/>
          <w:kern w:val="0"/>
          <w:sz w:val="24"/>
          <w:szCs w:val="24"/>
          <w:lang w:val="zh-CN"/>
        </w:rPr>
        <w:t>提供7*24小时应急支撑响应，并承诺在接到服务请求后，30分钟内响应，1小时内到达现场处理问题，4小时内恢复系统，提供故障报告。</w:t>
      </w:r>
    </w:p>
    <w:p>
      <w:pPr>
        <w:tabs>
          <w:tab w:val="left" w:pos="0"/>
        </w:tabs>
        <w:spacing w:line="440" w:lineRule="exact"/>
        <w:ind w:firstLine="482" w:firstLineChars="200"/>
        <w:rPr>
          <w:rFonts w:ascii="宋体" w:hAnsi="宋体" w:cs="宋体"/>
          <w:b/>
          <w:color w:val="000000"/>
          <w:kern w:val="0"/>
          <w:sz w:val="24"/>
          <w:szCs w:val="24"/>
          <w:lang w:val="zh-CN"/>
        </w:rPr>
      </w:pPr>
      <w:r>
        <w:rPr>
          <w:rFonts w:hint="eastAsia" w:ascii="宋体" w:hAnsi="宋体" w:cs="宋体"/>
          <w:b/>
          <w:color w:val="000000" w:themeColor="text1"/>
          <w:kern w:val="0"/>
          <w:sz w:val="24"/>
          <w:szCs w:val="24"/>
          <w:lang w:val="zh-CN"/>
        </w:rPr>
        <w:t>六、</w:t>
      </w:r>
      <w:r>
        <w:rPr>
          <w:rFonts w:hint="eastAsia" w:ascii="宋体" w:hAnsi="宋体" w:cs="宋体"/>
          <w:b/>
          <w:color w:val="000000"/>
          <w:kern w:val="0"/>
          <w:sz w:val="24"/>
          <w:szCs w:val="24"/>
          <w:lang w:val="zh-CN"/>
        </w:rPr>
        <w:t>采购标的验收标准</w:t>
      </w:r>
    </w:p>
    <w:p>
      <w:pPr>
        <w:spacing w:line="440" w:lineRule="exact"/>
        <w:ind w:firstLine="480" w:firstLineChars="200"/>
        <w:rPr>
          <w:rFonts w:ascii="宋体" w:hAnsi="宋体" w:cs="宋体"/>
          <w:color w:val="000000"/>
          <w:kern w:val="0"/>
          <w:sz w:val="24"/>
          <w:szCs w:val="24"/>
          <w:lang w:val="zh-CN"/>
        </w:rPr>
      </w:pPr>
      <w:r>
        <w:rPr>
          <w:rFonts w:hint="eastAsia" w:ascii="宋体" w:hAnsi="宋体" w:cs="宋体"/>
          <w:color w:val="000000"/>
          <w:kern w:val="0"/>
          <w:sz w:val="24"/>
          <w:szCs w:val="24"/>
          <w:lang w:val="zh-CN"/>
        </w:rPr>
        <w:t>整体项目验收由</w:t>
      </w:r>
      <w:r>
        <w:rPr>
          <w:rFonts w:hint="eastAsia" w:ascii="宋体" w:hAnsi="宋体" w:cs="宋体"/>
          <w:color w:val="000000" w:themeColor="text1"/>
          <w:kern w:val="0"/>
          <w:sz w:val="24"/>
          <w:szCs w:val="24"/>
          <w:lang w:val="zh-CN"/>
        </w:rPr>
        <w:t>大生集团进行验收，必要时</w:t>
      </w:r>
      <w:r>
        <w:rPr>
          <w:rFonts w:hint="eastAsia" w:ascii="宋体" w:hAnsi="宋体" w:cs="宋体"/>
          <w:color w:val="000000"/>
          <w:kern w:val="0"/>
          <w:sz w:val="24"/>
          <w:szCs w:val="24"/>
          <w:lang w:val="zh-CN"/>
        </w:rPr>
        <w:t>组织专家进行评审验收，需要在验收前提交验收文档，包含项目过程文档，不限于项目需求说明、概要设计、详细设计、数据库设计、系统测试报告、培训资料、试运行报告等</w:t>
      </w:r>
      <w:r>
        <w:rPr>
          <w:rFonts w:hint="eastAsia" w:ascii="宋体" w:hAnsi="宋体" w:cs="宋体"/>
          <w:color w:val="000000" w:themeColor="text1"/>
          <w:kern w:val="0"/>
          <w:sz w:val="24"/>
          <w:szCs w:val="24"/>
          <w:lang w:val="zh-CN"/>
        </w:rPr>
        <w:t>。</w:t>
      </w:r>
    </w:p>
    <w:p>
      <w:pPr>
        <w:spacing w:line="360" w:lineRule="auto"/>
        <w:ind w:firstLine="482"/>
        <w:rPr>
          <w:rFonts w:ascii="宋体" w:hAnsi="宋体"/>
          <w:b/>
          <w:sz w:val="24"/>
        </w:rPr>
      </w:pPr>
      <w:r>
        <w:rPr>
          <w:rFonts w:hint="eastAsia" w:ascii="宋体" w:hAnsi="宋体"/>
          <w:b/>
          <w:sz w:val="24"/>
        </w:rPr>
        <w:t>七、项目合同金额</w:t>
      </w:r>
    </w:p>
    <w:p>
      <w:pPr>
        <w:spacing w:line="360" w:lineRule="auto"/>
        <w:ind w:firstLine="480"/>
        <w:rPr>
          <w:rFonts w:ascii="宋体" w:hAnsi="宋体"/>
          <w:sz w:val="24"/>
        </w:rPr>
      </w:pPr>
      <w:r>
        <w:rPr>
          <w:rFonts w:hint="eastAsia" w:ascii="宋体" w:hAnsi="宋体"/>
          <w:sz w:val="24"/>
        </w:rPr>
        <w:t>1、合同总费用：人民币 ￥</w:t>
      </w:r>
      <w:r>
        <w:rPr>
          <w:rFonts w:hint="eastAsia" w:ascii="宋体" w:hAnsi="宋体"/>
          <w:sz w:val="24"/>
          <w:u w:val="single"/>
        </w:rPr>
        <w:t xml:space="preserve">            元</w:t>
      </w:r>
      <w:r>
        <w:rPr>
          <w:rFonts w:hint="eastAsia" w:ascii="宋体" w:hAnsi="宋体"/>
          <w:sz w:val="24"/>
        </w:rPr>
        <w:t>，大写：人民币；</w:t>
      </w:r>
    </w:p>
    <w:p>
      <w:pPr>
        <w:spacing w:line="480" w:lineRule="exact"/>
        <w:ind w:firstLine="480" w:firstLineChars="200"/>
        <w:rPr>
          <w:rFonts w:ascii="宋体" w:hAnsi="宋体"/>
          <w:sz w:val="24"/>
        </w:rPr>
      </w:pPr>
      <w:r>
        <w:rPr>
          <w:rFonts w:hint="eastAsia" w:ascii="宋体" w:hAnsi="宋体"/>
          <w:sz w:val="24"/>
        </w:rPr>
        <w:t>2、本合同采用固定总价形式，</w:t>
      </w:r>
      <w:r>
        <w:rPr>
          <w:rFonts w:hint="eastAsia" w:ascii="宋体" w:hAnsi="宋体" w:cs="宋体"/>
          <w:sz w:val="24"/>
        </w:rPr>
        <w:t>包括为完成本服务项目发生的所有含税费用、支付给员工的工资和国家强制缴纳的各种社会保障资金，以及供应商认为需要的其他费用等。</w:t>
      </w:r>
    </w:p>
    <w:p>
      <w:pPr>
        <w:spacing w:line="360" w:lineRule="auto"/>
        <w:ind w:firstLine="482"/>
        <w:rPr>
          <w:rFonts w:ascii="宋体" w:hAnsi="宋体"/>
          <w:sz w:val="24"/>
        </w:rPr>
      </w:pPr>
      <w:r>
        <w:rPr>
          <w:rFonts w:hint="eastAsia" w:ascii="宋体" w:hAnsi="宋体"/>
          <w:b/>
          <w:sz w:val="24"/>
        </w:rPr>
        <w:t>八、付款方式</w:t>
      </w:r>
    </w:p>
    <w:p>
      <w:pPr>
        <w:spacing w:line="360" w:lineRule="auto"/>
        <w:ind w:firstLine="482"/>
        <w:rPr>
          <w:rFonts w:ascii="宋体" w:hAnsi="宋体"/>
          <w:sz w:val="24"/>
        </w:rPr>
      </w:pPr>
      <w:r>
        <w:rPr>
          <w:rFonts w:hint="eastAsia" w:ascii="宋体" w:hAnsi="宋体"/>
          <w:sz w:val="24"/>
        </w:rPr>
        <w:t>【特别提醒】付款方式不接受负偏离及任何意图改变付款方式的意图表达，否则作无效响应处理。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3084"/>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61" w:type="dxa"/>
            <w:noWrap/>
            <w:vAlign w:val="center"/>
          </w:tcPr>
          <w:p>
            <w:pPr>
              <w:snapToGrid w:val="0"/>
              <w:spacing w:line="360" w:lineRule="auto"/>
              <w:jc w:val="center"/>
              <w:rPr>
                <w:rFonts w:ascii="宋体" w:hAnsi="宋体"/>
                <w:b/>
                <w:color w:val="000000"/>
              </w:rPr>
            </w:pPr>
            <w:r>
              <w:rPr>
                <w:rFonts w:hint="eastAsia" w:ascii="宋体" w:hAnsi="宋体"/>
                <w:b/>
                <w:color w:val="000000"/>
              </w:rPr>
              <w:t>序号</w:t>
            </w:r>
          </w:p>
        </w:tc>
        <w:tc>
          <w:tcPr>
            <w:tcW w:w="3084" w:type="dxa"/>
            <w:noWrap/>
            <w:vAlign w:val="center"/>
          </w:tcPr>
          <w:p>
            <w:pPr>
              <w:snapToGrid w:val="0"/>
              <w:spacing w:line="360" w:lineRule="auto"/>
              <w:jc w:val="center"/>
              <w:rPr>
                <w:rFonts w:ascii="宋体" w:hAnsi="宋体"/>
                <w:b/>
                <w:color w:val="000000"/>
              </w:rPr>
            </w:pPr>
            <w:r>
              <w:rPr>
                <w:rFonts w:hint="eastAsia" w:ascii="宋体" w:hAnsi="宋体"/>
                <w:b/>
                <w:color w:val="000000"/>
              </w:rPr>
              <w:t>付款比例</w:t>
            </w:r>
          </w:p>
        </w:tc>
        <w:tc>
          <w:tcPr>
            <w:tcW w:w="5586" w:type="dxa"/>
            <w:noWrap/>
            <w:vAlign w:val="center"/>
          </w:tcPr>
          <w:p>
            <w:pPr>
              <w:snapToGrid w:val="0"/>
              <w:spacing w:line="360" w:lineRule="auto"/>
              <w:jc w:val="center"/>
              <w:rPr>
                <w:rFonts w:ascii="宋体" w:hAnsi="宋体"/>
                <w:b/>
                <w:color w:val="000000"/>
              </w:rPr>
            </w:pPr>
            <w:r>
              <w:rPr>
                <w:rFonts w:hint="eastAsia" w:ascii="宋体" w:hAnsi="宋体"/>
                <w:b/>
                <w:color w:val="000000"/>
              </w:rPr>
              <w:t>支付条件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center"/>
          </w:tcPr>
          <w:p>
            <w:pPr>
              <w:snapToGrid w:val="0"/>
              <w:spacing w:line="360" w:lineRule="auto"/>
              <w:jc w:val="center"/>
              <w:rPr>
                <w:rFonts w:ascii="宋体" w:hAnsi="宋体"/>
                <w:color w:val="000000"/>
              </w:rPr>
            </w:pPr>
            <w:r>
              <w:rPr>
                <w:rFonts w:hint="eastAsia" w:ascii="宋体" w:hAnsi="宋体"/>
                <w:color w:val="000000"/>
              </w:rPr>
              <w:t>1</w:t>
            </w:r>
          </w:p>
        </w:tc>
        <w:tc>
          <w:tcPr>
            <w:tcW w:w="3084"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预付款：合同金额的40%</w:t>
            </w:r>
          </w:p>
        </w:tc>
        <w:tc>
          <w:tcPr>
            <w:tcW w:w="5586"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合同金额40%的等额增值税发票（甲方收到乙方提供的合格的履约保函）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vAlign w:val="center"/>
          </w:tcPr>
          <w:p>
            <w:pPr>
              <w:snapToGrid w:val="0"/>
              <w:spacing w:line="360" w:lineRule="auto"/>
              <w:jc w:val="center"/>
              <w:rPr>
                <w:rFonts w:ascii="宋体" w:hAnsi="宋体"/>
                <w:color w:val="000000"/>
              </w:rPr>
            </w:pPr>
            <w:r>
              <w:rPr>
                <w:rFonts w:hint="eastAsia" w:ascii="宋体" w:hAnsi="宋体"/>
                <w:color w:val="000000"/>
              </w:rPr>
              <w:t>2</w:t>
            </w:r>
          </w:p>
        </w:tc>
        <w:tc>
          <w:tcPr>
            <w:tcW w:w="3084"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阶段付款：合同金额的30%</w:t>
            </w:r>
          </w:p>
        </w:tc>
        <w:tc>
          <w:tcPr>
            <w:tcW w:w="5586"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合同金额30%的等额增值税发票（</w:t>
            </w:r>
            <w:r>
              <w:rPr>
                <w:rFonts w:ascii="宋体" w:hAnsi="宋体"/>
                <w:color w:val="000000"/>
                <w:sz w:val="24"/>
              </w:rPr>
              <w:t>甲方确认实施方案及需求分析报告</w:t>
            </w:r>
            <w:r>
              <w:rPr>
                <w:rFonts w:hint="eastAsia" w:ascii="宋体" w:hAnsi="宋体"/>
                <w:color w:val="000000"/>
                <w:sz w:val="24"/>
              </w:rPr>
              <w:t>，甲方系统安装测试完成后）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1" w:type="dxa"/>
            <w:noWrap/>
            <w:vAlign w:val="center"/>
          </w:tcPr>
          <w:p>
            <w:pPr>
              <w:snapToGrid w:val="0"/>
              <w:spacing w:line="360" w:lineRule="auto"/>
              <w:jc w:val="center"/>
              <w:rPr>
                <w:rFonts w:ascii="宋体" w:hAnsi="宋体"/>
                <w:color w:val="000000"/>
              </w:rPr>
            </w:pPr>
            <w:r>
              <w:rPr>
                <w:rFonts w:hint="eastAsia" w:ascii="宋体" w:hAnsi="宋体"/>
                <w:color w:val="000000"/>
              </w:rPr>
              <w:t>3</w:t>
            </w:r>
          </w:p>
        </w:tc>
        <w:tc>
          <w:tcPr>
            <w:tcW w:w="3084"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阶段付款：合同金额的25%</w:t>
            </w:r>
          </w:p>
        </w:tc>
        <w:tc>
          <w:tcPr>
            <w:tcW w:w="5586"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合同金额25%的等额增值税发票（系统验收通过后）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61" w:type="dxa"/>
            <w:noWrap/>
            <w:vAlign w:val="center"/>
          </w:tcPr>
          <w:p>
            <w:pPr>
              <w:snapToGrid w:val="0"/>
              <w:spacing w:line="360" w:lineRule="auto"/>
              <w:jc w:val="center"/>
              <w:rPr>
                <w:rFonts w:ascii="宋体" w:hAnsi="宋体"/>
                <w:color w:val="000000"/>
              </w:rPr>
            </w:pPr>
            <w:r>
              <w:rPr>
                <w:rFonts w:hint="eastAsia" w:ascii="宋体" w:hAnsi="宋体"/>
                <w:color w:val="000000"/>
              </w:rPr>
              <w:t>4</w:t>
            </w:r>
          </w:p>
        </w:tc>
        <w:tc>
          <w:tcPr>
            <w:tcW w:w="3084"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阶段付款：合同金额的5%</w:t>
            </w:r>
          </w:p>
        </w:tc>
        <w:tc>
          <w:tcPr>
            <w:tcW w:w="5586" w:type="dxa"/>
            <w:noWrap/>
            <w:vAlign w:val="center"/>
          </w:tcPr>
          <w:p>
            <w:pPr>
              <w:snapToGrid w:val="0"/>
              <w:spacing w:line="360" w:lineRule="auto"/>
              <w:jc w:val="left"/>
              <w:rPr>
                <w:rFonts w:ascii="宋体" w:hAnsi="宋体"/>
                <w:color w:val="000000"/>
                <w:sz w:val="24"/>
              </w:rPr>
            </w:pPr>
            <w:r>
              <w:rPr>
                <w:rFonts w:hint="eastAsia" w:ascii="宋体" w:hAnsi="宋体"/>
                <w:color w:val="000000"/>
                <w:sz w:val="24"/>
              </w:rPr>
              <w:t>合同金额5%的等额增值税发票（2年质保期结束后）</w:t>
            </w:r>
          </w:p>
        </w:tc>
      </w:tr>
    </w:tbl>
    <w:p>
      <w:pPr>
        <w:spacing w:line="360" w:lineRule="auto"/>
        <w:ind w:firstLine="482"/>
        <w:rPr>
          <w:rFonts w:ascii="宋体" w:hAnsi="宋体"/>
          <w:b/>
          <w:sz w:val="24"/>
        </w:rPr>
      </w:pPr>
      <w:r>
        <w:rPr>
          <w:rFonts w:hint="eastAsia" w:ascii="宋体" w:hAnsi="宋体"/>
          <w:b/>
          <w:sz w:val="24"/>
        </w:rPr>
        <w:t>九、履约保证金</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1、本项目成交后的履约保证金为项目成交价的5%  ，即</w:t>
      </w:r>
      <w:r>
        <w:rPr>
          <w:rFonts w:hint="eastAsia" w:ascii="宋体" w:hAnsi="宋体" w:cs="宋体"/>
          <w:color w:val="000000" w:themeColor="text1"/>
          <w:sz w:val="24"/>
          <w:szCs w:val="24"/>
          <w:u w:val="single"/>
        </w:rPr>
        <w:t xml:space="preserve">         元</w:t>
      </w:r>
      <w:r>
        <w:rPr>
          <w:rFonts w:hint="eastAsia" w:ascii="宋体" w:hAnsi="宋体" w:cs="宋体"/>
          <w:color w:val="000000" w:themeColor="text1"/>
          <w:sz w:val="24"/>
          <w:szCs w:val="24"/>
        </w:rPr>
        <w:t>。</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2、成交供应商在按要求保质保量的完成该项目合同并通过验收后，采购人凭成交供应商提交的申请，一次性无息退还该合同项目的履约保证金。（保险除外）</w:t>
      </w:r>
    </w:p>
    <w:p>
      <w:pPr>
        <w:snapToGrid w:val="0"/>
        <w:spacing w:line="360" w:lineRule="auto"/>
        <w:ind w:firstLine="470" w:firstLineChars="196"/>
        <w:outlineLvl w:val="1"/>
        <w:rPr>
          <w:rFonts w:ascii="宋体" w:hAnsi="宋体" w:cs="宋体"/>
          <w:color w:val="000000" w:themeColor="text1"/>
          <w:sz w:val="24"/>
          <w:szCs w:val="24"/>
        </w:rPr>
      </w:pPr>
      <w:r>
        <w:rPr>
          <w:rFonts w:hint="eastAsia" w:ascii="宋体" w:hAnsi="宋体" w:cs="宋体"/>
          <w:color w:val="000000" w:themeColor="text1"/>
          <w:sz w:val="24"/>
          <w:szCs w:val="24"/>
        </w:rPr>
        <w:t>3、由于成交供应商原因，在签订合同后出现不按合同履行的情况，采购单位有权将履约保证金作为违约金，全额不予退还，同时采购单位亦有权终止合同，成交供应商还须承担相应的法律赔偿责任。</w:t>
      </w:r>
    </w:p>
    <w:p>
      <w:pPr>
        <w:spacing w:line="360" w:lineRule="auto"/>
        <w:ind w:firstLine="482"/>
        <w:rPr>
          <w:rFonts w:ascii="宋体" w:hAnsi="宋体"/>
          <w:b/>
          <w:sz w:val="24"/>
        </w:rPr>
      </w:pPr>
      <w:r>
        <w:rPr>
          <w:rFonts w:hint="eastAsia" w:ascii="宋体" w:hAnsi="宋体"/>
          <w:b/>
          <w:sz w:val="24"/>
        </w:rPr>
        <w:t>十、违约责任</w:t>
      </w:r>
    </w:p>
    <w:p>
      <w:pPr>
        <w:tabs>
          <w:tab w:val="left" w:pos="900"/>
          <w:tab w:val="left" w:pos="1680"/>
        </w:tabs>
        <w:spacing w:line="360" w:lineRule="auto"/>
        <w:ind w:firstLine="480"/>
        <w:rPr>
          <w:rFonts w:ascii="宋体" w:hAnsi="宋体"/>
          <w:sz w:val="24"/>
        </w:rPr>
      </w:pPr>
      <w:r>
        <w:rPr>
          <w:rFonts w:hint="eastAsia" w:ascii="宋体" w:hAnsi="宋体"/>
          <w:sz w:val="24"/>
        </w:rPr>
        <w:t>1、如因甲方的业务需求产生重大变更、外在不可抗力因素等原因，致使项目期限需要延长的，乙方应及时知会甲方，在取得甲方同意的情况下，工期可以适度顺延，但累计延期不得超过30天。</w:t>
      </w:r>
    </w:p>
    <w:p>
      <w:pPr>
        <w:tabs>
          <w:tab w:val="left" w:pos="900"/>
          <w:tab w:val="left" w:pos="1680"/>
        </w:tabs>
        <w:spacing w:line="360" w:lineRule="auto"/>
        <w:ind w:firstLine="480"/>
        <w:rPr>
          <w:rFonts w:ascii="宋体" w:hAnsi="宋体"/>
          <w:sz w:val="24"/>
        </w:rPr>
      </w:pPr>
      <w:r>
        <w:rPr>
          <w:rFonts w:hint="eastAsia" w:ascii="宋体" w:hAnsi="宋体"/>
          <w:sz w:val="24"/>
        </w:rPr>
        <w:t>2、如因甲方人员不积极配合或有重大过失行为，导致项目延误，乙方有权适当顺延项目期限，甲方应承担由此引起的延期责任。</w:t>
      </w:r>
    </w:p>
    <w:p>
      <w:pPr>
        <w:tabs>
          <w:tab w:val="left" w:pos="900"/>
          <w:tab w:val="left" w:pos="1680"/>
        </w:tabs>
        <w:spacing w:line="360" w:lineRule="auto"/>
        <w:ind w:firstLine="480"/>
        <w:rPr>
          <w:rFonts w:ascii="宋体" w:hAnsi="宋体"/>
          <w:sz w:val="24"/>
        </w:rPr>
      </w:pPr>
      <w:r>
        <w:rPr>
          <w:rFonts w:hint="eastAsia" w:ascii="宋体" w:hAnsi="宋体"/>
          <w:sz w:val="24"/>
        </w:rPr>
        <w:t>3、剔除以上因素，如乙方不能按合同约定按时完成项目、或项目质量达不到甲方要求，甲方有权单方解除本合同，且乙方应如数向甲方退回所收款项，并承担合同金额10%的违约金。本合同自甲方解除通知发出之日起自动解除。</w:t>
      </w:r>
    </w:p>
    <w:p>
      <w:pPr>
        <w:tabs>
          <w:tab w:val="left" w:pos="900"/>
          <w:tab w:val="left" w:pos="1680"/>
        </w:tabs>
        <w:spacing w:line="360" w:lineRule="auto"/>
        <w:ind w:firstLine="480"/>
        <w:rPr>
          <w:rFonts w:ascii="宋体" w:hAnsi="宋体"/>
          <w:sz w:val="24"/>
        </w:rPr>
      </w:pPr>
      <w:r>
        <w:rPr>
          <w:rFonts w:hint="eastAsia" w:ascii="宋体" w:hAnsi="宋体"/>
          <w:sz w:val="24"/>
        </w:rPr>
        <w:t>4、如甲方拖欠乙方的合同款项，乙方有权从应付款截止日起向甲方索赔逾期支付费用，逾期支付费用为甲方未付款项的银行同期存款活期利息。</w:t>
      </w:r>
    </w:p>
    <w:p>
      <w:pPr>
        <w:spacing w:line="360" w:lineRule="auto"/>
        <w:ind w:firstLine="480"/>
        <w:rPr>
          <w:rFonts w:ascii="宋体" w:hAnsi="宋体"/>
          <w:sz w:val="24"/>
        </w:rPr>
      </w:pPr>
      <w:r>
        <w:rPr>
          <w:rFonts w:hint="eastAsia" w:ascii="宋体" w:hAnsi="宋体"/>
          <w:sz w:val="24"/>
        </w:rPr>
        <w:t>5、如乙方无正当理由逾期交付软件，从应交付之日起，甲方有权按合同总价的千分之三/天扣减相应的合同金额，不足部分由乙方承担赔偿责任。</w:t>
      </w:r>
    </w:p>
    <w:p>
      <w:pPr>
        <w:tabs>
          <w:tab w:val="left" w:pos="900"/>
          <w:tab w:val="left" w:pos="1680"/>
        </w:tabs>
        <w:spacing w:line="360" w:lineRule="auto"/>
        <w:ind w:firstLine="480"/>
        <w:rPr>
          <w:rFonts w:ascii="宋体" w:hAnsi="宋体"/>
          <w:sz w:val="24"/>
        </w:rPr>
      </w:pPr>
      <w:r>
        <w:rPr>
          <w:rFonts w:hint="eastAsia" w:ascii="宋体" w:hAnsi="宋体"/>
          <w:sz w:val="24"/>
        </w:rPr>
        <w:t>6.如乙方维护消极，甲方有权视情况扣减相应合同金额。如乙方未按维护条款及时响应或及时排除技术故障的，甲方有权邀请其他技术单位解除相应故障，由此产生的费用由甲方在乙方的维护费用中另行双倍扣除，不足部分由乙方承担赔偿责任。</w:t>
      </w:r>
    </w:p>
    <w:p>
      <w:pPr>
        <w:spacing w:line="360" w:lineRule="auto"/>
        <w:ind w:firstLine="482"/>
        <w:rPr>
          <w:rFonts w:ascii="宋体" w:hAnsi="宋体"/>
          <w:b/>
          <w:sz w:val="24"/>
        </w:rPr>
      </w:pPr>
      <w:r>
        <w:rPr>
          <w:rFonts w:hint="eastAsia" w:ascii="宋体" w:hAnsi="宋体"/>
          <w:b/>
          <w:sz w:val="24"/>
        </w:rPr>
        <w:t>十、不可抗力</w:t>
      </w:r>
    </w:p>
    <w:p>
      <w:pPr>
        <w:spacing w:line="360" w:lineRule="auto"/>
        <w:ind w:firstLine="480"/>
        <w:rPr>
          <w:rFonts w:ascii="宋体" w:hAnsi="宋体"/>
          <w:sz w:val="24"/>
        </w:rPr>
      </w:pPr>
      <w:r>
        <w:rPr>
          <w:rFonts w:hint="eastAsia" w:ascii="宋体" w:hAnsi="宋体"/>
          <w:sz w:val="24"/>
        </w:rPr>
        <w:t>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spacing w:line="360" w:lineRule="auto"/>
        <w:ind w:firstLine="482"/>
        <w:rPr>
          <w:rFonts w:ascii="宋体" w:hAnsi="宋体"/>
          <w:b/>
          <w:sz w:val="24"/>
        </w:rPr>
      </w:pPr>
      <w:r>
        <w:rPr>
          <w:rFonts w:hint="eastAsia" w:ascii="宋体" w:hAnsi="宋体"/>
          <w:b/>
          <w:sz w:val="24"/>
        </w:rPr>
        <w:t>十一、争议的解决</w:t>
      </w:r>
    </w:p>
    <w:p>
      <w:pPr>
        <w:tabs>
          <w:tab w:val="left" w:pos="900"/>
          <w:tab w:val="left" w:pos="1680"/>
        </w:tabs>
        <w:spacing w:line="360" w:lineRule="auto"/>
        <w:ind w:firstLine="480"/>
        <w:rPr>
          <w:rFonts w:ascii="宋体" w:hAnsi="宋体"/>
          <w:sz w:val="24"/>
        </w:rPr>
      </w:pPr>
      <w:r>
        <w:rPr>
          <w:rFonts w:hint="eastAsia" w:ascii="宋体" w:hAnsi="宋体"/>
          <w:sz w:val="24"/>
        </w:rPr>
        <w:t>若执行本合同的过程中发生纠纷，双方当事人应当及时协商解决；协商不成时，则提交甲方所在地有管辖权之人民法院提起诉讼。</w:t>
      </w:r>
    </w:p>
    <w:p>
      <w:pPr>
        <w:spacing w:line="360" w:lineRule="auto"/>
        <w:ind w:firstLine="482"/>
        <w:rPr>
          <w:rFonts w:ascii="宋体" w:hAnsi="宋体"/>
          <w:b/>
          <w:sz w:val="24"/>
        </w:rPr>
      </w:pPr>
      <w:r>
        <w:rPr>
          <w:rFonts w:hint="eastAsia" w:ascii="宋体" w:hAnsi="宋体"/>
          <w:b/>
          <w:sz w:val="24"/>
        </w:rPr>
        <w:t>十二、无效合同</w:t>
      </w:r>
    </w:p>
    <w:p>
      <w:pPr>
        <w:spacing w:line="360" w:lineRule="auto"/>
        <w:ind w:firstLine="480"/>
        <w:rPr>
          <w:rFonts w:ascii="宋体" w:hAnsi="宋体"/>
          <w:sz w:val="24"/>
        </w:rPr>
      </w:pPr>
      <w:r>
        <w:rPr>
          <w:rFonts w:hint="eastAsia" w:ascii="宋体" w:hAnsi="宋体"/>
          <w:sz w:val="24"/>
        </w:rPr>
        <w:t>甲乙双方如因违反法律和有关规定，合同被宣告无效的，有过错的一方应当承担赔偿责任，双方都有过错的，各自承担相应的责任。</w:t>
      </w:r>
    </w:p>
    <w:p>
      <w:pPr>
        <w:spacing w:line="360" w:lineRule="auto"/>
        <w:ind w:firstLine="482"/>
        <w:rPr>
          <w:rFonts w:ascii="宋体" w:hAnsi="宋体"/>
          <w:b/>
          <w:sz w:val="24"/>
        </w:rPr>
      </w:pPr>
      <w:r>
        <w:rPr>
          <w:rFonts w:hint="eastAsia" w:ascii="宋体" w:hAnsi="宋体"/>
          <w:b/>
          <w:sz w:val="24"/>
        </w:rPr>
        <w:t>十三、合同权利义务转让/变更/修改/补充</w:t>
      </w:r>
    </w:p>
    <w:p>
      <w:pPr>
        <w:tabs>
          <w:tab w:val="left" w:pos="900"/>
          <w:tab w:val="left" w:pos="1680"/>
        </w:tabs>
        <w:spacing w:line="360" w:lineRule="auto"/>
        <w:ind w:firstLine="480"/>
        <w:rPr>
          <w:rFonts w:ascii="宋体" w:hAnsi="宋体"/>
          <w:sz w:val="24"/>
        </w:rPr>
      </w:pPr>
      <w:r>
        <w:rPr>
          <w:rFonts w:hint="eastAsia" w:ascii="宋体" w:hAnsi="宋体"/>
          <w:sz w:val="24"/>
        </w:rPr>
        <w:t>1、未经甲方书面同意，乙方不得将本合同的任何权利和义务转让给第三方，否则甲方有权拒绝向乙方支付合同款项。任何一方不应将合同的全部或任何部分、或合同及根据合同所具有的任何利益或权益转让他人，也不得将合同用于抵押、质押、留置或担保。</w:t>
      </w:r>
    </w:p>
    <w:p>
      <w:pPr>
        <w:tabs>
          <w:tab w:val="left" w:pos="900"/>
          <w:tab w:val="left" w:pos="1680"/>
        </w:tabs>
        <w:spacing w:line="360" w:lineRule="auto"/>
        <w:ind w:firstLine="480"/>
        <w:rPr>
          <w:rFonts w:ascii="宋体" w:hAnsi="宋体"/>
          <w:sz w:val="24"/>
        </w:rPr>
      </w:pPr>
      <w:r>
        <w:rPr>
          <w:rFonts w:hint="eastAsia" w:ascii="宋体" w:hAnsi="宋体"/>
          <w:sz w:val="24"/>
        </w:rPr>
        <w:t>2、管辖恒定：本合同中关于管辖权的约定是唯一的，任何一方不得通过债权转让或其他方式对涉及本合同约定事项或与之相关的事项的争议解决方式进行另行约定或对本合同关于管辖权的约定进行变更，如发生类似情形，该等约定亦属无效。</w:t>
      </w:r>
    </w:p>
    <w:p>
      <w:pPr>
        <w:spacing w:line="360" w:lineRule="auto"/>
        <w:ind w:firstLine="482"/>
        <w:rPr>
          <w:rFonts w:ascii="宋体" w:hAnsi="宋体"/>
          <w:b/>
          <w:sz w:val="24"/>
        </w:rPr>
      </w:pPr>
      <w:r>
        <w:rPr>
          <w:rFonts w:hint="eastAsia" w:ascii="宋体" w:hAnsi="宋体"/>
          <w:b/>
          <w:sz w:val="24"/>
        </w:rPr>
        <w:t>十四、技术成果和知识产权</w:t>
      </w:r>
    </w:p>
    <w:p>
      <w:pPr>
        <w:spacing w:line="360" w:lineRule="auto"/>
        <w:ind w:firstLine="482"/>
        <w:rPr>
          <w:color w:val="000000" w:themeColor="text1"/>
          <w:sz w:val="24"/>
        </w:rPr>
      </w:pPr>
      <w:r>
        <w:rPr>
          <w:rFonts w:hint="eastAsia"/>
          <w:color w:val="000000" w:themeColor="text1"/>
          <w:sz w:val="24"/>
        </w:rPr>
        <w:t>供应商应保证本项目采购人合同标的物的任何部分均不受第三方关于侵犯其所有权，专利权、商标权等一切可能的知识产权侵权的指控。采购人或最终用户因此而受到的全部损失包括对第三方的任何赔偿、补偿、垫付的款项以及应对指控而支出的全部费用，均由供应商承担。</w:t>
      </w:r>
    </w:p>
    <w:p>
      <w:pPr>
        <w:spacing w:line="360" w:lineRule="auto"/>
        <w:ind w:firstLine="482"/>
        <w:rPr>
          <w:rFonts w:ascii="宋体" w:hAnsi="宋体"/>
          <w:b/>
          <w:sz w:val="24"/>
        </w:rPr>
      </w:pPr>
      <w:r>
        <w:rPr>
          <w:rFonts w:hint="eastAsia" w:ascii="宋体" w:hAnsi="宋体"/>
          <w:b/>
          <w:sz w:val="24"/>
        </w:rPr>
        <w:t>十五、合同的解除和转让</w:t>
      </w:r>
    </w:p>
    <w:p>
      <w:pPr>
        <w:snapToGrid w:val="0"/>
        <w:spacing w:line="360" w:lineRule="auto"/>
        <w:ind w:firstLine="573"/>
        <w:rPr>
          <w:rFonts w:ascii="宋体" w:hAnsi="宋体" w:cs="宋体"/>
          <w:sz w:val="24"/>
        </w:rPr>
      </w:pPr>
      <w:r>
        <w:rPr>
          <w:rFonts w:hint="eastAsia" w:ascii="宋体" w:hAnsi="宋体" w:cs="宋体"/>
          <w:sz w:val="24"/>
        </w:rPr>
        <w:t>1、 甲方和乙方协商一致，可以解除合同。</w:t>
      </w:r>
    </w:p>
    <w:p>
      <w:pPr>
        <w:snapToGrid w:val="0"/>
        <w:spacing w:line="360" w:lineRule="auto"/>
        <w:ind w:firstLine="573"/>
        <w:rPr>
          <w:rFonts w:ascii="宋体" w:hAnsi="宋体" w:cs="宋体"/>
          <w:sz w:val="24"/>
        </w:rPr>
      </w:pPr>
      <w:r>
        <w:rPr>
          <w:rFonts w:hint="eastAsia" w:ascii="宋体" w:hAnsi="宋体" w:cs="宋体"/>
          <w:sz w:val="24"/>
        </w:rPr>
        <w:t>（1）有下列情形之一，合同一方可以解除合同：</w:t>
      </w:r>
    </w:p>
    <w:p>
      <w:pPr>
        <w:snapToGrid w:val="0"/>
        <w:spacing w:line="360" w:lineRule="auto"/>
        <w:ind w:firstLine="573"/>
        <w:rPr>
          <w:rFonts w:ascii="宋体" w:hAnsi="宋体" w:cs="宋体"/>
          <w:sz w:val="24"/>
        </w:rPr>
      </w:pPr>
      <w:r>
        <w:rPr>
          <w:rFonts w:hint="eastAsia" w:ascii="宋体" w:hAnsi="宋体" w:cs="宋体"/>
          <w:sz w:val="24"/>
        </w:rPr>
        <w:t>因不可抗力致使不能实现合同目的，未受不可抗力影响的一方有权解除合同；</w:t>
      </w:r>
    </w:p>
    <w:p>
      <w:pPr>
        <w:snapToGrid w:val="0"/>
        <w:spacing w:line="360" w:lineRule="auto"/>
        <w:ind w:firstLine="573"/>
        <w:rPr>
          <w:rFonts w:ascii="宋体" w:hAnsi="宋体" w:cs="宋体"/>
          <w:sz w:val="24"/>
        </w:rPr>
      </w:pPr>
      <w:r>
        <w:rPr>
          <w:rFonts w:hint="eastAsia" w:ascii="宋体" w:hAnsi="宋体" w:cs="宋体"/>
          <w:sz w:val="24"/>
        </w:rPr>
        <w:t>因合同一方违约导致合同不能履行，另一方有权解除合同</w:t>
      </w:r>
    </w:p>
    <w:p>
      <w:pPr>
        <w:snapToGrid w:val="0"/>
        <w:spacing w:line="360" w:lineRule="auto"/>
        <w:ind w:firstLine="573"/>
        <w:rPr>
          <w:rFonts w:ascii="宋体" w:hAnsi="宋体" w:cs="宋体"/>
          <w:sz w:val="24"/>
        </w:rPr>
      </w:pPr>
      <w:r>
        <w:rPr>
          <w:rFonts w:hint="eastAsia" w:ascii="宋体" w:hAnsi="宋体" w:cs="宋体"/>
          <w:sz w:val="24"/>
        </w:rPr>
        <w:t>有权解除合同的一方，应当在违约事实或不可抗力发生之后三十天内书面通知对方以主张解除合同，合同在书面通知到达对方时解除。</w:t>
      </w:r>
    </w:p>
    <w:p>
      <w:pPr>
        <w:snapToGrid w:val="0"/>
        <w:spacing w:line="360" w:lineRule="auto"/>
        <w:ind w:firstLine="573"/>
        <w:rPr>
          <w:rFonts w:ascii="宋体" w:hAnsi="宋体" w:cs="宋体"/>
          <w:sz w:val="24"/>
        </w:rPr>
      </w:pPr>
      <w:r>
        <w:rPr>
          <w:rFonts w:hint="eastAsia" w:ascii="宋体" w:hAnsi="宋体" w:cs="宋体"/>
          <w:sz w:val="24"/>
        </w:rPr>
        <w:t>（2）合同的部分和全部都不得转让。</w:t>
      </w:r>
    </w:p>
    <w:p>
      <w:pPr>
        <w:snapToGrid w:val="0"/>
        <w:spacing w:line="360" w:lineRule="auto"/>
        <w:ind w:firstLine="573"/>
        <w:rPr>
          <w:rFonts w:ascii="宋体" w:hAnsi="宋体" w:cs="宋体"/>
          <w:b/>
          <w:sz w:val="24"/>
        </w:rPr>
      </w:pPr>
      <w:r>
        <w:rPr>
          <w:rFonts w:hint="eastAsia" w:ascii="宋体" w:hAnsi="宋体" w:cs="宋体"/>
          <w:b/>
          <w:sz w:val="24"/>
        </w:rPr>
        <w:t>十六、合同的生效及备案</w:t>
      </w:r>
    </w:p>
    <w:p>
      <w:pPr>
        <w:snapToGrid w:val="0"/>
        <w:spacing w:line="360" w:lineRule="auto"/>
        <w:ind w:firstLine="573"/>
        <w:rPr>
          <w:rFonts w:ascii="宋体" w:hAnsi="宋体" w:cs="宋体"/>
          <w:sz w:val="24"/>
        </w:rPr>
      </w:pPr>
      <w:r>
        <w:rPr>
          <w:rFonts w:hint="eastAsia" w:ascii="宋体" w:hAnsi="宋体" w:cs="宋体"/>
          <w:sz w:val="24"/>
        </w:rPr>
        <w:t>本合同在乙方缴纳履约保证金，甲乙双方签字盖章后生效</w:t>
      </w:r>
      <w:r>
        <w:rPr>
          <w:rFonts w:hint="eastAsia" w:ascii="宋体" w:hAnsi="宋体" w:cs="宋体"/>
          <w:color w:val="000000"/>
          <w:sz w:val="24"/>
        </w:rPr>
        <w:t>。</w:t>
      </w:r>
    </w:p>
    <w:p>
      <w:pPr>
        <w:snapToGrid w:val="0"/>
        <w:spacing w:line="360" w:lineRule="auto"/>
        <w:ind w:firstLine="573"/>
        <w:rPr>
          <w:rFonts w:ascii="宋体" w:hAnsi="宋体" w:cs="宋体"/>
          <w:b/>
          <w:sz w:val="24"/>
        </w:rPr>
      </w:pPr>
      <w:r>
        <w:rPr>
          <w:rFonts w:hint="eastAsia" w:ascii="宋体" w:hAnsi="宋体" w:cs="宋体"/>
          <w:b/>
          <w:sz w:val="24"/>
        </w:rPr>
        <w:t>十七、争议的解决</w:t>
      </w:r>
    </w:p>
    <w:p>
      <w:pPr>
        <w:snapToGrid w:val="0"/>
        <w:spacing w:line="360" w:lineRule="auto"/>
        <w:ind w:firstLine="573"/>
        <w:rPr>
          <w:rFonts w:ascii="宋体" w:hAnsi="宋体" w:cs="宋体"/>
          <w:sz w:val="24"/>
        </w:rPr>
      </w:pPr>
      <w:r>
        <w:rPr>
          <w:rFonts w:hint="eastAsia" w:ascii="宋体" w:hAnsi="宋体" w:cs="宋体"/>
          <w:sz w:val="24"/>
        </w:rPr>
        <w:t>甲乙双方因合同发生争议，应在采购单位的主持下进行调解，协商不成，任何一方可以向南通仲裁委员会申请仲裁解决。</w:t>
      </w:r>
    </w:p>
    <w:p>
      <w:pPr>
        <w:snapToGrid w:val="0"/>
        <w:spacing w:line="360" w:lineRule="auto"/>
        <w:ind w:firstLine="573"/>
        <w:rPr>
          <w:rFonts w:ascii="宋体" w:hAnsi="宋体" w:cs="宋体"/>
          <w:b/>
          <w:sz w:val="24"/>
        </w:rPr>
      </w:pPr>
      <w:r>
        <w:rPr>
          <w:rFonts w:hint="eastAsia" w:ascii="宋体" w:hAnsi="宋体" w:cs="宋体"/>
          <w:b/>
          <w:sz w:val="24"/>
        </w:rPr>
        <w:t>十八、附则</w:t>
      </w:r>
    </w:p>
    <w:p>
      <w:pPr>
        <w:snapToGrid w:val="0"/>
        <w:spacing w:line="360" w:lineRule="auto"/>
        <w:ind w:firstLine="573"/>
        <w:rPr>
          <w:rFonts w:ascii="宋体" w:hAnsi="宋体" w:cs="宋体"/>
          <w:sz w:val="24"/>
        </w:rPr>
      </w:pPr>
      <w:r>
        <w:rPr>
          <w:rFonts w:hint="eastAsia" w:ascii="宋体" w:hAnsi="宋体" w:cs="宋体"/>
          <w:sz w:val="24"/>
        </w:rPr>
        <w:t>1、合同份数：</w:t>
      </w:r>
      <w:r>
        <w:rPr>
          <w:rFonts w:hint="eastAsia" w:ascii="宋体" w:hAnsi="宋体" w:cs="宋体"/>
          <w:sz w:val="24"/>
          <w:szCs w:val="24"/>
        </w:rPr>
        <w:t>合同一式肆份，采购人、供应商各执贰份。</w:t>
      </w:r>
    </w:p>
    <w:p>
      <w:pPr>
        <w:snapToGrid w:val="0"/>
        <w:spacing w:line="360" w:lineRule="auto"/>
        <w:ind w:firstLine="573"/>
        <w:rPr>
          <w:rFonts w:ascii="宋体" w:hAnsi="宋体" w:cs="宋体"/>
          <w:sz w:val="24"/>
        </w:rPr>
      </w:pPr>
      <w:r>
        <w:rPr>
          <w:rFonts w:hint="eastAsia" w:ascii="宋体" w:hAnsi="宋体" w:cs="宋体"/>
          <w:sz w:val="24"/>
        </w:rPr>
        <w:t>2、本合同文件使用中文书写、解释和说明。</w:t>
      </w:r>
    </w:p>
    <w:p>
      <w:pPr>
        <w:snapToGrid w:val="0"/>
        <w:spacing w:line="360" w:lineRule="auto"/>
        <w:ind w:firstLine="573"/>
        <w:rPr>
          <w:rFonts w:ascii="宋体" w:hAnsi="宋体" w:cs="宋体"/>
          <w:sz w:val="24"/>
        </w:rPr>
      </w:pPr>
      <w:r>
        <w:rPr>
          <w:rFonts w:hint="eastAsia" w:ascii="宋体" w:hAnsi="宋体" w:cs="宋体"/>
          <w:sz w:val="24"/>
        </w:rPr>
        <w:t>3、本合同履行过程中产生的纪要、协议以及成交通知书、采购响应文件和采购文件为本合同的附件，与合同具有同等效力。</w:t>
      </w:r>
    </w:p>
    <w:p>
      <w:pPr>
        <w:snapToGrid w:val="0"/>
        <w:spacing w:line="360" w:lineRule="auto"/>
        <w:ind w:firstLine="573"/>
        <w:rPr>
          <w:rFonts w:ascii="宋体" w:hAnsi="宋体" w:cs="宋体"/>
          <w:sz w:val="24"/>
        </w:rPr>
      </w:pPr>
      <w:r>
        <w:rPr>
          <w:rFonts w:hint="eastAsia" w:ascii="宋体" w:hAnsi="宋体" w:cs="宋体"/>
          <w:sz w:val="24"/>
        </w:rPr>
        <w:t>4、未尽事宜</w:t>
      </w:r>
    </w:p>
    <w:p>
      <w:pPr>
        <w:snapToGrid w:val="0"/>
        <w:spacing w:line="360" w:lineRule="auto"/>
        <w:ind w:firstLine="573"/>
        <w:rPr>
          <w:rFonts w:ascii="宋体" w:hAnsi="宋体" w:cs="宋体"/>
          <w:sz w:val="24"/>
        </w:rPr>
      </w:pPr>
      <w:r>
        <w:rPr>
          <w:rFonts w:hint="eastAsia" w:ascii="宋体" w:hAnsi="宋体" w:cs="宋体"/>
          <w:sz w:val="24"/>
        </w:rPr>
        <w:t>本合同未尽事宜应按照《中华人民共和国民法典》、《中华人民共和国产品质量法》及其相关配套法律法规之规定解释。</w:t>
      </w:r>
    </w:p>
    <w:p>
      <w:pPr>
        <w:snapToGrid w:val="0"/>
        <w:spacing w:line="360" w:lineRule="auto"/>
        <w:ind w:firstLine="573"/>
        <w:rPr>
          <w:rFonts w:ascii="宋体" w:hAnsi="宋体" w:cs="宋体"/>
          <w:sz w:val="24"/>
        </w:rPr>
      </w:pPr>
    </w:p>
    <w:p>
      <w:pPr>
        <w:snapToGrid w:val="0"/>
        <w:spacing w:line="360" w:lineRule="auto"/>
        <w:ind w:firstLine="573"/>
        <w:rPr>
          <w:rFonts w:ascii="宋体" w:hAnsi="宋体" w:cs="宋体"/>
          <w:sz w:val="24"/>
        </w:rPr>
      </w:pPr>
    </w:p>
    <w:p>
      <w:pPr>
        <w:pStyle w:val="2"/>
        <w:ind w:firstLine="480"/>
      </w:pPr>
    </w:p>
    <w:p>
      <w:pPr>
        <w:snapToGrid w:val="0"/>
        <w:spacing w:line="360" w:lineRule="auto"/>
        <w:ind w:firstLine="573"/>
        <w:rPr>
          <w:rFonts w:ascii="宋体" w:hAnsi="宋体" w:cs="宋体"/>
          <w:sz w:val="24"/>
        </w:rPr>
      </w:pPr>
      <w:r>
        <w:rPr>
          <w:rFonts w:hint="eastAsia" w:ascii="宋体" w:hAnsi="宋体" w:cs="宋体"/>
          <w:sz w:val="24"/>
        </w:rPr>
        <w:t>采购单位（盖章）：                  供应商（盖章）：</w:t>
      </w:r>
    </w:p>
    <w:p>
      <w:pPr>
        <w:snapToGrid w:val="0"/>
        <w:spacing w:line="360" w:lineRule="auto"/>
        <w:ind w:firstLine="573"/>
        <w:rPr>
          <w:rFonts w:ascii="宋体" w:hAnsi="宋体" w:cs="宋体"/>
          <w:sz w:val="24"/>
        </w:rPr>
      </w:pPr>
      <w:r>
        <w:rPr>
          <w:rFonts w:hint="eastAsia" w:ascii="宋体" w:hAnsi="宋体" w:cs="宋体"/>
          <w:sz w:val="24"/>
        </w:rPr>
        <w:t>法定代表人（签字）：                法定代表人（签字）：</w:t>
      </w:r>
    </w:p>
    <w:p>
      <w:pPr>
        <w:snapToGrid w:val="0"/>
        <w:spacing w:line="360" w:lineRule="auto"/>
        <w:ind w:firstLine="573"/>
        <w:rPr>
          <w:rFonts w:ascii="宋体" w:hAnsi="宋体" w:cs="宋体"/>
          <w:sz w:val="24"/>
        </w:rPr>
      </w:pPr>
      <w:r>
        <w:rPr>
          <w:rFonts w:hint="eastAsia" w:ascii="宋体" w:hAnsi="宋体" w:cs="宋体"/>
          <w:sz w:val="24"/>
        </w:rPr>
        <w:t>或委托代理人（签字）：              或委托代理人（签字）：</w:t>
      </w:r>
    </w:p>
    <w:p>
      <w:pPr>
        <w:snapToGrid w:val="0"/>
        <w:spacing w:line="360" w:lineRule="auto"/>
        <w:ind w:firstLine="480" w:firstLineChars="200"/>
        <w:contextualSpacing/>
        <w:rPr>
          <w:rFonts w:ascii="宋体" w:hAnsi="宋体" w:cs="宋体"/>
          <w:sz w:val="24"/>
        </w:rPr>
      </w:pPr>
    </w:p>
    <w:p>
      <w:pPr>
        <w:snapToGrid w:val="0"/>
        <w:spacing w:line="360" w:lineRule="auto"/>
        <w:ind w:firstLine="480" w:firstLineChars="200"/>
        <w:contextualSpacing/>
        <w:rPr>
          <w:rFonts w:ascii="宋体" w:hAnsi="宋体" w:cs="宋体"/>
          <w:sz w:val="24"/>
        </w:rPr>
      </w:pPr>
      <w:r>
        <w:rPr>
          <w:rFonts w:hint="eastAsia" w:ascii="宋体" w:hAnsi="宋体" w:cs="宋体"/>
          <w:sz w:val="24"/>
        </w:rPr>
        <w:t>年  月  日</w:t>
      </w:r>
    </w:p>
    <w:p>
      <w:pPr>
        <w:pStyle w:val="2"/>
        <w:ind w:firstLine="480"/>
      </w:pPr>
    </w:p>
    <w:p>
      <w:pPr>
        <w:adjustRightInd w:val="0"/>
        <w:snapToGrid w:val="0"/>
        <w:spacing w:line="500" w:lineRule="exact"/>
        <w:ind w:firstLine="480" w:firstLineChars="200"/>
        <w:contextualSpacing/>
        <w:rPr>
          <w:rFonts w:ascii="宋体" w:hAnsi="宋体" w:cs="宋体"/>
          <w:sz w:val="24"/>
        </w:rPr>
      </w:pPr>
    </w:p>
    <w:p>
      <w:pPr>
        <w:adjustRightInd w:val="0"/>
        <w:snapToGrid w:val="0"/>
        <w:spacing w:line="500" w:lineRule="exact"/>
        <w:ind w:firstLine="480" w:firstLineChars="200"/>
        <w:contextualSpacing/>
        <w:rPr>
          <w:rFonts w:hint="eastAsia" w:ascii="宋体" w:hAnsi="宋体" w:cs="宋体"/>
          <w:sz w:val="24"/>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spacing w:line="360" w:lineRule="auto"/>
        <w:jc w:val="left"/>
        <w:rPr>
          <w:rFonts w:hint="eastAsia" w:ascii="宋体" w:hAnsi="宋体"/>
          <w:b/>
          <w:color w:val="000000"/>
          <w:sz w:val="24"/>
        </w:rPr>
      </w:pPr>
      <w:r>
        <w:rPr>
          <w:rFonts w:hint="eastAsia" w:ascii="宋体" w:hAnsi="宋体"/>
          <w:b/>
          <w:color w:val="000000"/>
          <w:sz w:val="24"/>
        </w:rPr>
        <w:t>附件：</w:t>
      </w:r>
    </w:p>
    <w:p>
      <w:pPr>
        <w:spacing w:line="360" w:lineRule="auto"/>
        <w:jc w:val="left"/>
        <w:rPr>
          <w:rFonts w:ascii="宋体" w:hAnsi="宋体"/>
          <w:b/>
          <w:color w:val="000000"/>
          <w:sz w:val="24"/>
        </w:rPr>
      </w:pPr>
      <w:r>
        <w:rPr>
          <w:rFonts w:hint="eastAsia" w:ascii="宋体" w:hAnsi="宋体"/>
          <w:b/>
          <w:color w:val="000000"/>
          <w:sz w:val="24"/>
        </w:rPr>
        <w:t xml:space="preserve">                                    廉洁合作协议书</w:t>
      </w:r>
    </w:p>
    <w:p>
      <w:pPr>
        <w:spacing w:line="360" w:lineRule="auto"/>
        <w:rPr>
          <w:rFonts w:ascii="宋体" w:hAnsi="宋体"/>
          <w:color w:val="000000"/>
          <w:sz w:val="24"/>
        </w:rPr>
      </w:pPr>
    </w:p>
    <w:p>
      <w:pPr>
        <w:spacing w:line="360" w:lineRule="auto"/>
        <w:rPr>
          <w:rFonts w:ascii="宋体" w:hAnsi="宋体"/>
          <w:b/>
          <w:bCs/>
          <w:color w:val="000000"/>
          <w:sz w:val="24"/>
        </w:rPr>
      </w:pPr>
      <w:r>
        <w:rPr>
          <w:rFonts w:hint="eastAsia" w:ascii="宋体" w:hAnsi="宋体"/>
          <w:b/>
          <w:bCs/>
          <w:color w:val="000000"/>
          <w:sz w:val="24"/>
        </w:rPr>
        <w:t>甲方：</w:t>
      </w:r>
    </w:p>
    <w:p>
      <w:pPr>
        <w:spacing w:line="360" w:lineRule="auto"/>
        <w:rPr>
          <w:rFonts w:ascii="宋体" w:hAnsi="宋体"/>
          <w:b/>
          <w:bCs/>
          <w:color w:val="000000"/>
          <w:sz w:val="24"/>
        </w:rPr>
      </w:pPr>
    </w:p>
    <w:p>
      <w:pPr>
        <w:spacing w:line="360" w:lineRule="auto"/>
        <w:rPr>
          <w:rFonts w:ascii="宋体" w:hAnsi="宋体"/>
          <w:color w:val="000000"/>
          <w:sz w:val="24"/>
          <w:u w:val="single"/>
        </w:rPr>
      </w:pPr>
      <w:r>
        <w:rPr>
          <w:rFonts w:hint="eastAsia" w:ascii="宋体" w:hAnsi="宋体"/>
          <w:b/>
          <w:bCs/>
          <w:color w:val="000000"/>
          <w:sz w:val="24"/>
        </w:rPr>
        <w:t>乙方：</w:t>
      </w:r>
      <w:r>
        <w:rPr>
          <w:rFonts w:ascii="宋体" w:hAnsi="宋体"/>
          <w:color w:val="000000"/>
          <w:sz w:val="24"/>
          <w:u w:val="single"/>
        </w:rPr>
        <w:t xml:space="preserve"> </w:t>
      </w:r>
    </w:p>
    <w:p>
      <w:pPr>
        <w:spacing w:line="360" w:lineRule="auto"/>
        <w:ind w:firstLine="48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甲乙双方已于【 】年【 】月【 】日签署了</w:t>
      </w:r>
      <w:r>
        <w:rPr>
          <w:rFonts w:hint="eastAsia" w:ascii="宋体" w:hAnsi="宋体"/>
          <w:bCs/>
          <w:color w:val="000000"/>
          <w:sz w:val="24"/>
        </w:rPr>
        <w:t>合同</w:t>
      </w:r>
      <w:r>
        <w:rPr>
          <w:rFonts w:ascii="宋体" w:hAnsi="宋体"/>
          <w:color w:val="000000"/>
          <w:sz w:val="24"/>
        </w:rPr>
        <w:t>，为加强</w:t>
      </w:r>
      <w:r>
        <w:rPr>
          <w:rFonts w:hint="eastAsia" w:ascii="宋体" w:hAnsi="宋体"/>
          <w:color w:val="000000"/>
          <w:sz w:val="24"/>
        </w:rPr>
        <w:t>项目实施期</w:t>
      </w:r>
      <w:r>
        <w:rPr>
          <w:rFonts w:ascii="宋体" w:hAnsi="宋体"/>
          <w:color w:val="000000"/>
          <w:sz w:val="24"/>
        </w:rPr>
        <w:t>间的廉洁合作，确保项目</w:t>
      </w:r>
      <w:r>
        <w:rPr>
          <w:rFonts w:hint="eastAsia" w:ascii="宋体" w:hAnsi="宋体"/>
          <w:color w:val="000000"/>
          <w:sz w:val="24"/>
        </w:rPr>
        <w:t>设计</w:t>
      </w:r>
      <w:r>
        <w:rPr>
          <w:rFonts w:ascii="宋体" w:hAnsi="宋体"/>
          <w:color w:val="000000"/>
          <w:sz w:val="24"/>
        </w:rPr>
        <w:t>高效优质按期</w:t>
      </w:r>
      <w:r>
        <w:rPr>
          <w:rFonts w:hint="eastAsia" w:ascii="宋体" w:hAnsi="宋体"/>
          <w:color w:val="000000"/>
          <w:sz w:val="24"/>
        </w:rPr>
        <w:t>完成</w:t>
      </w:r>
      <w:r>
        <w:rPr>
          <w:rFonts w:ascii="宋体" w:hAnsi="宋体"/>
          <w:color w:val="000000"/>
          <w:sz w:val="24"/>
        </w:rPr>
        <w:t>，甲乙双方经协商签定本协议并作为双方共同遵守的廉洁合作行为准则。</w:t>
      </w:r>
    </w:p>
    <w:p>
      <w:pPr>
        <w:numPr>
          <w:ilvl w:val="0"/>
          <w:numId w:val="6"/>
        </w:numPr>
        <w:tabs>
          <w:tab w:val="left" w:pos="282"/>
          <w:tab w:val="clear" w:pos="891"/>
        </w:tabs>
        <w:spacing w:line="360" w:lineRule="auto"/>
        <w:ind w:hanging="891"/>
        <w:rPr>
          <w:rFonts w:ascii="宋体" w:hAnsi="宋体"/>
          <w:b/>
          <w:bCs/>
          <w:color w:val="000000"/>
          <w:sz w:val="24"/>
        </w:rPr>
      </w:pPr>
      <w:r>
        <w:rPr>
          <w:rFonts w:hint="eastAsia" w:ascii="宋体" w:hAnsi="宋体"/>
          <w:b/>
          <w:bCs/>
          <w:color w:val="000000"/>
          <w:sz w:val="24"/>
        </w:rPr>
        <w:t>甲方责任：</w:t>
      </w:r>
    </w:p>
    <w:p>
      <w:pPr>
        <w:numPr>
          <w:ilvl w:val="1"/>
          <w:numId w:val="7"/>
        </w:numPr>
        <w:tabs>
          <w:tab w:val="left" w:pos="540"/>
          <w:tab w:val="clear" w:pos="845"/>
        </w:tabs>
        <w:spacing w:line="360" w:lineRule="auto"/>
        <w:ind w:left="0" w:firstLine="0"/>
        <w:rPr>
          <w:rFonts w:ascii="宋体" w:hAnsi="宋体"/>
          <w:color w:val="000000"/>
          <w:sz w:val="24"/>
        </w:rPr>
      </w:pPr>
      <w:r>
        <w:rPr>
          <w:rFonts w:ascii="宋体" w:hAnsi="宋体"/>
          <w:color w:val="000000"/>
          <w:sz w:val="24"/>
        </w:rPr>
        <w:t>甲方有责任向乙方介绍本单位有关廉洁合作管理的各项制度和规定。</w:t>
      </w:r>
    </w:p>
    <w:p>
      <w:pPr>
        <w:numPr>
          <w:ilvl w:val="1"/>
          <w:numId w:val="7"/>
        </w:numPr>
        <w:tabs>
          <w:tab w:val="left" w:pos="540"/>
          <w:tab w:val="clear" w:pos="845"/>
        </w:tabs>
        <w:spacing w:line="360" w:lineRule="auto"/>
        <w:ind w:left="0" w:firstLine="0"/>
        <w:rPr>
          <w:rFonts w:ascii="宋体" w:hAnsi="宋体"/>
          <w:color w:val="000000"/>
          <w:sz w:val="24"/>
        </w:rPr>
      </w:pPr>
      <w:r>
        <w:rPr>
          <w:rFonts w:ascii="宋体" w:hAnsi="宋体"/>
          <w:color w:val="000000"/>
          <w:sz w:val="24"/>
        </w:rPr>
        <w:t>甲方有责任对本单位项目管理人员进行廉洁合作教育。</w:t>
      </w:r>
    </w:p>
    <w:p>
      <w:pPr>
        <w:numPr>
          <w:ilvl w:val="1"/>
          <w:numId w:val="7"/>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甲方人员应严格遵守本单位有关廉洁合作管理的规定，不得接受乙方的宴请，不得接受任何形式的实物、现金或礼券。</w:t>
      </w:r>
    </w:p>
    <w:p>
      <w:pPr>
        <w:numPr>
          <w:ilvl w:val="1"/>
          <w:numId w:val="7"/>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甲方在工程项目建设期间发现甲方人员任何形式的索贿受贿行为，均应及时采取措施予以制止，并及时通报乙方。</w:t>
      </w:r>
    </w:p>
    <w:p>
      <w:pPr>
        <w:numPr>
          <w:ilvl w:val="1"/>
          <w:numId w:val="7"/>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甲方人员如违反廉洁合作管理制度及本协议规定，甲方应视情节轻重、影响大小给予行政及经济处罚。</w:t>
      </w:r>
    </w:p>
    <w:p>
      <w:pPr>
        <w:numPr>
          <w:ilvl w:val="1"/>
          <w:numId w:val="7"/>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对于乙方举报甲方人员违反廉洁合作规定的情况，甲方应及时进行调查，根据调查情况进行处理。</w:t>
      </w:r>
    </w:p>
    <w:p>
      <w:pPr>
        <w:numPr>
          <w:ilvl w:val="0"/>
          <w:numId w:val="6"/>
        </w:numPr>
        <w:tabs>
          <w:tab w:val="left" w:pos="282"/>
          <w:tab w:val="clear" w:pos="891"/>
        </w:tabs>
        <w:spacing w:line="360" w:lineRule="auto"/>
        <w:ind w:hanging="891"/>
        <w:rPr>
          <w:rFonts w:ascii="宋体" w:hAnsi="宋体"/>
          <w:b/>
          <w:bCs/>
          <w:color w:val="000000"/>
          <w:sz w:val="24"/>
        </w:rPr>
      </w:pPr>
      <w:r>
        <w:rPr>
          <w:rFonts w:hint="eastAsia" w:ascii="宋体" w:hAnsi="宋体"/>
          <w:b/>
          <w:bCs/>
          <w:color w:val="000000"/>
          <w:sz w:val="24"/>
        </w:rPr>
        <w:t>乙方责任</w:t>
      </w:r>
    </w:p>
    <w:p>
      <w:pPr>
        <w:numPr>
          <w:ilvl w:val="1"/>
          <w:numId w:val="8"/>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乙方应保证乙方有关人员了解甲方单位有关廉洁合作管理的各项制度及本协议的规定，并遵照执行。</w:t>
      </w:r>
    </w:p>
    <w:p>
      <w:pPr>
        <w:numPr>
          <w:ilvl w:val="1"/>
          <w:numId w:val="8"/>
        </w:numPr>
        <w:tabs>
          <w:tab w:val="left" w:pos="540"/>
          <w:tab w:val="clear" w:pos="845"/>
        </w:tabs>
        <w:spacing w:line="360" w:lineRule="auto"/>
        <w:ind w:left="0" w:firstLine="0"/>
        <w:rPr>
          <w:rFonts w:ascii="宋体" w:hAnsi="宋体"/>
          <w:color w:val="000000"/>
          <w:sz w:val="24"/>
        </w:rPr>
      </w:pPr>
      <w:r>
        <w:rPr>
          <w:rFonts w:ascii="宋体" w:hAnsi="宋体"/>
          <w:color w:val="000000"/>
          <w:sz w:val="24"/>
        </w:rPr>
        <w:t>乙方不得宴请甲方人员，不得以任何形式赠送实物、现金或礼券。</w:t>
      </w:r>
    </w:p>
    <w:p>
      <w:pPr>
        <w:numPr>
          <w:ilvl w:val="1"/>
          <w:numId w:val="8"/>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乙方单位在工程项目建设期间发现乙方人员</w:t>
      </w:r>
      <w:r>
        <w:rPr>
          <w:rFonts w:hint="eastAsia" w:ascii="宋体" w:hAnsi="宋体"/>
          <w:color w:val="000000"/>
          <w:sz w:val="24"/>
        </w:rPr>
        <w:t>有</w:t>
      </w:r>
      <w:r>
        <w:rPr>
          <w:rFonts w:ascii="宋体" w:hAnsi="宋体"/>
          <w:color w:val="000000"/>
          <w:sz w:val="24"/>
        </w:rPr>
        <w:t>任何向甲方人员行贿</w:t>
      </w:r>
      <w:r>
        <w:rPr>
          <w:rFonts w:hint="eastAsia" w:ascii="宋体" w:hAnsi="宋体"/>
          <w:color w:val="000000"/>
          <w:sz w:val="24"/>
        </w:rPr>
        <w:t>的</w:t>
      </w:r>
      <w:r>
        <w:rPr>
          <w:rFonts w:ascii="宋体" w:hAnsi="宋体"/>
          <w:color w:val="000000"/>
          <w:sz w:val="24"/>
        </w:rPr>
        <w:t>行为，均应及时采取措施予以制止，并及时通报甲方。</w:t>
      </w:r>
    </w:p>
    <w:p>
      <w:pPr>
        <w:numPr>
          <w:ilvl w:val="1"/>
          <w:numId w:val="8"/>
        </w:numPr>
        <w:tabs>
          <w:tab w:val="left" w:pos="540"/>
          <w:tab w:val="clear" w:pos="845"/>
        </w:tabs>
        <w:spacing w:line="360" w:lineRule="auto"/>
        <w:ind w:left="0" w:firstLine="0"/>
        <w:rPr>
          <w:rFonts w:ascii="宋体" w:hAnsi="宋体"/>
          <w:color w:val="000000"/>
          <w:sz w:val="24"/>
        </w:rPr>
      </w:pPr>
      <w:r>
        <w:rPr>
          <w:rFonts w:ascii="宋体" w:hAnsi="宋体"/>
          <w:color w:val="000000"/>
          <w:sz w:val="24"/>
        </w:rPr>
        <w:t>乙方有责任接受甲方对乙方在工程项目建设期间廉洁合作管理执行情况的监督。</w:t>
      </w:r>
    </w:p>
    <w:p>
      <w:pPr>
        <w:numPr>
          <w:ilvl w:val="1"/>
          <w:numId w:val="8"/>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乙方单位人员有义务就甲方人员任何形式的索贿或受贿行为及时向甲方</w:t>
      </w:r>
      <w:r>
        <w:rPr>
          <w:rFonts w:hint="eastAsia" w:ascii="宋体" w:hAnsi="宋体"/>
          <w:color w:val="000000"/>
          <w:sz w:val="24"/>
        </w:rPr>
        <w:t>举报；如乙方向甲方人员行贿，或甲方人员向乙方索贿，乙方满足其要求且并未向甲方举报的，一经查实，除追回由此给甲方造成的损失外，乙方承诺在总价的基础上再让利</w:t>
      </w:r>
      <w:r>
        <w:rPr>
          <w:rFonts w:ascii="宋体" w:hAnsi="宋体"/>
          <w:color w:val="000000"/>
          <w:sz w:val="24"/>
        </w:rPr>
        <w:t>10%，并对本方知情不报人员进行相应处罚。</w:t>
      </w:r>
    </w:p>
    <w:p>
      <w:pPr>
        <w:numPr>
          <w:ilvl w:val="1"/>
          <w:numId w:val="8"/>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如因乙方单位及人员在工程项目建设期间贿赂甲方人员，被</w:t>
      </w:r>
      <w:r>
        <w:rPr>
          <w:rFonts w:hint="eastAsia" w:ascii="宋体" w:hAnsi="宋体"/>
          <w:color w:val="000000"/>
          <w:sz w:val="24"/>
        </w:rPr>
        <w:t>司法</w:t>
      </w:r>
      <w:r>
        <w:rPr>
          <w:rFonts w:ascii="宋体" w:hAnsi="宋体"/>
          <w:color w:val="000000"/>
          <w:sz w:val="24"/>
        </w:rPr>
        <w:t>机关立案查处的，甲方有权取消或终止</w:t>
      </w:r>
      <w:r>
        <w:rPr>
          <w:rFonts w:hint="eastAsia" w:ascii="宋体" w:hAnsi="宋体"/>
          <w:color w:val="000000"/>
          <w:sz w:val="24"/>
        </w:rPr>
        <w:t>与乙方签订</w:t>
      </w:r>
      <w:r>
        <w:rPr>
          <w:rFonts w:ascii="宋体" w:hAnsi="宋体"/>
          <w:color w:val="000000"/>
          <w:sz w:val="24"/>
        </w:rPr>
        <w:t>合同的履行，由此给甲方造成的损失由乙方负责赔偿。</w:t>
      </w:r>
    </w:p>
    <w:p>
      <w:pPr>
        <w:spacing w:line="360" w:lineRule="auto"/>
        <w:rPr>
          <w:rFonts w:ascii="宋体" w:hAnsi="宋体"/>
          <w:color w:val="000000"/>
          <w:sz w:val="24"/>
        </w:rPr>
      </w:pPr>
    </w:p>
    <w:p>
      <w:pPr>
        <w:spacing w:line="360" w:lineRule="auto"/>
        <w:rPr>
          <w:rFonts w:ascii="宋体" w:hAnsi="宋体"/>
          <w:color w:val="000000"/>
          <w:sz w:val="24"/>
        </w:rPr>
      </w:pPr>
    </w:p>
    <w:tbl>
      <w:tblPr>
        <w:tblStyle w:val="53"/>
        <w:tblpPr w:leftFromText="180" w:rightFromText="180" w:vertAnchor="text" w:horzAnchor="margin" w:tblpX="108"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788" w:type="dxa"/>
            <w:tcBorders>
              <w:top w:val="nil"/>
              <w:left w:val="nil"/>
              <w:bottom w:val="nil"/>
              <w:right w:val="nil"/>
            </w:tcBorders>
          </w:tcPr>
          <w:p>
            <w:pPr>
              <w:spacing w:line="360" w:lineRule="auto"/>
              <w:rPr>
                <w:rFonts w:ascii="宋体" w:hAnsi="宋体"/>
                <w:b/>
                <w:bCs/>
                <w:color w:val="000000"/>
                <w:sz w:val="24"/>
              </w:rPr>
            </w:pPr>
            <w:r>
              <w:rPr>
                <w:rFonts w:hint="eastAsia" w:ascii="宋体" w:hAnsi="宋体"/>
                <w:b/>
                <w:bCs/>
                <w:color w:val="000000"/>
                <w:sz w:val="24"/>
              </w:rPr>
              <w:t>甲方</w:t>
            </w:r>
            <w:r>
              <w:rPr>
                <w:rFonts w:ascii="宋体" w:hAnsi="宋体"/>
                <w:b/>
                <w:bCs/>
                <w:color w:val="000000"/>
                <w:sz w:val="24"/>
              </w:rPr>
              <w:t>：</w:t>
            </w:r>
          </w:p>
        </w:tc>
        <w:tc>
          <w:tcPr>
            <w:tcW w:w="4932" w:type="dxa"/>
            <w:tcBorders>
              <w:top w:val="nil"/>
              <w:left w:val="nil"/>
              <w:bottom w:val="nil"/>
              <w:right w:val="nil"/>
            </w:tcBorders>
          </w:tcPr>
          <w:p>
            <w:pPr>
              <w:spacing w:line="360" w:lineRule="auto"/>
              <w:rPr>
                <w:rFonts w:ascii="宋体" w:hAnsi="宋体"/>
                <w:b/>
                <w:bCs/>
                <w:color w:val="000000"/>
                <w:sz w:val="24"/>
              </w:rPr>
            </w:pPr>
            <w:r>
              <w:rPr>
                <w:rFonts w:hint="eastAsia" w:ascii="宋体" w:hAnsi="宋体"/>
                <w:b/>
                <w:bCs/>
                <w:color w:val="000000"/>
                <w:sz w:val="24"/>
              </w:rPr>
              <w:t>乙方</w:t>
            </w:r>
            <w:r>
              <w:rPr>
                <w:rFonts w:ascii="宋体" w:hAnsi="宋体"/>
                <w:b/>
                <w:bCs/>
                <w:color w:val="000000"/>
                <w:sz w:val="24"/>
              </w:rPr>
              <w:t>：</w:t>
            </w:r>
            <w:r>
              <w:rPr>
                <w:rFonts w:hint="eastAsia" w:ascii="宋体" w:hAnsi="宋体"/>
                <w:b/>
                <w:bCs/>
                <w:color w:val="000000"/>
                <w:sz w:val="24"/>
              </w:rPr>
              <w:t xml:space="preserve">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ascii="宋体" w:hAnsi="宋体"/>
                <w:b/>
                <w:bCs/>
                <w:color w:val="000000"/>
                <w:sz w:val="24"/>
              </w:rPr>
              <w:t>法定代表人</w:t>
            </w:r>
            <w:r>
              <w:rPr>
                <w:rFonts w:hint="eastAsia" w:ascii="宋体" w:hAnsi="宋体"/>
                <w:b/>
                <w:bCs/>
                <w:color w:val="000000"/>
                <w:sz w:val="24"/>
              </w:rPr>
              <w:t>或其授权代表</w:t>
            </w:r>
            <w:r>
              <w:rPr>
                <w:rFonts w:ascii="宋体" w:hAnsi="宋体"/>
                <w:b/>
                <w:bCs/>
                <w:color w:val="000000"/>
                <w:sz w:val="24"/>
              </w:rPr>
              <w:t>：</w:t>
            </w:r>
          </w:p>
        </w:tc>
        <w:tc>
          <w:tcPr>
            <w:tcW w:w="4932"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ascii="宋体" w:hAnsi="宋体"/>
                <w:b/>
                <w:bCs/>
                <w:color w:val="000000"/>
                <w:sz w:val="24"/>
              </w:rPr>
              <w:t>法定代表人</w:t>
            </w:r>
            <w:r>
              <w:rPr>
                <w:rFonts w:hint="eastAsia" w:ascii="宋体" w:hAnsi="宋体"/>
                <w:b/>
                <w:bCs/>
                <w:color w:val="000000"/>
                <w:sz w:val="24"/>
              </w:rPr>
              <w:t>或其授权代表</w:t>
            </w:r>
            <w:r>
              <w:rPr>
                <w:rFonts w:ascii="宋体" w:hAnsi="宋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日期：_____________________</w:t>
            </w:r>
          </w:p>
        </w:tc>
        <w:tc>
          <w:tcPr>
            <w:tcW w:w="4932"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日期：_____________________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tc>
        <w:tc>
          <w:tcPr>
            <w:tcW w:w="4932" w:type="dxa"/>
            <w:tcBorders>
              <w:top w:val="nil"/>
              <w:left w:val="nil"/>
              <w:bottom w:val="nil"/>
              <w:right w:val="nil"/>
            </w:tcBorders>
          </w:tcPr>
          <w:p>
            <w:pPr>
              <w:spacing w:line="360" w:lineRule="auto"/>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tc>
        <w:tc>
          <w:tcPr>
            <w:tcW w:w="4932" w:type="dxa"/>
            <w:tcBorders>
              <w:top w:val="nil"/>
              <w:left w:val="nil"/>
              <w:bottom w:val="nil"/>
              <w:right w:val="nil"/>
            </w:tcBorders>
          </w:tcPr>
          <w:p>
            <w:pPr>
              <w:spacing w:line="360" w:lineRule="auto"/>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tc>
        <w:tc>
          <w:tcPr>
            <w:tcW w:w="4932" w:type="dxa"/>
            <w:tcBorders>
              <w:top w:val="nil"/>
              <w:left w:val="nil"/>
              <w:bottom w:val="nil"/>
              <w:right w:val="nil"/>
            </w:tcBorders>
          </w:tcPr>
          <w:p>
            <w:pPr>
              <w:spacing w:line="360" w:lineRule="auto"/>
              <w:rPr>
                <w:rFonts w:hint="eastAsia" w:ascii="宋体" w:hAnsi="宋体"/>
                <w:b/>
                <w:bCs/>
                <w:color w:val="000000"/>
                <w:sz w:val="24"/>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pPr>
          </w:p>
        </w:tc>
      </w:tr>
    </w:tbl>
    <w:p>
      <w:pPr>
        <w:pStyle w:val="2"/>
        <w:ind w:firstLine="480"/>
      </w:pPr>
    </w:p>
    <w:p>
      <w:pPr>
        <w:pStyle w:val="26"/>
        <w:tabs>
          <w:tab w:val="left" w:pos="1050"/>
          <w:tab w:val="right" w:leader="dot" w:pos="9402"/>
        </w:tabs>
        <w:spacing w:line="520" w:lineRule="exact"/>
        <w:ind w:left="0"/>
        <w:jc w:val="center"/>
        <w:outlineLvl w:val="0"/>
        <w:rPr>
          <w:rFonts w:hint="eastAsia" w:ascii="宋体" w:hAnsi="宋体" w:cs="宋体"/>
          <w:b/>
          <w:bCs/>
          <w:i w:val="0"/>
          <w:iCs w:val="0"/>
          <w:color w:val="000000" w:themeColor="text1"/>
          <w:w w:val="80"/>
          <w:sz w:val="44"/>
          <w:szCs w:val="44"/>
        </w:rPr>
      </w:pPr>
    </w:p>
    <w:p>
      <w:pPr>
        <w:pStyle w:val="26"/>
        <w:tabs>
          <w:tab w:val="left" w:pos="1050"/>
          <w:tab w:val="right" w:leader="dot" w:pos="9402"/>
        </w:tabs>
        <w:spacing w:line="520" w:lineRule="exact"/>
        <w:ind w:left="0"/>
        <w:jc w:val="center"/>
        <w:outlineLvl w:val="0"/>
        <w:rPr>
          <w:rFonts w:ascii="宋体"/>
          <w:b/>
          <w:bCs/>
          <w:i w:val="0"/>
          <w:iCs w:val="0"/>
          <w:color w:val="000000" w:themeColor="text1"/>
          <w:w w:val="80"/>
          <w:sz w:val="44"/>
          <w:szCs w:val="44"/>
        </w:rPr>
      </w:pPr>
      <w:bookmarkStart w:id="89" w:name="_GoBack"/>
      <w:bookmarkEnd w:id="89"/>
      <w:r>
        <w:rPr>
          <w:rFonts w:hint="eastAsia" w:ascii="宋体" w:hAnsi="宋体" w:cs="宋体"/>
          <w:b/>
          <w:bCs/>
          <w:i w:val="0"/>
          <w:iCs w:val="0"/>
          <w:color w:val="000000" w:themeColor="text1"/>
          <w:w w:val="80"/>
          <w:sz w:val="44"/>
          <w:szCs w:val="44"/>
        </w:rPr>
        <w:t>第六章  合同授予</w:t>
      </w:r>
    </w:p>
    <w:p>
      <w:pPr>
        <w:snapToGrid w:val="0"/>
        <w:spacing w:line="480" w:lineRule="exact"/>
        <w:ind w:firstLine="494" w:firstLineChars="206"/>
        <w:outlineLvl w:val="1"/>
        <w:rPr>
          <w:rFonts w:ascii="宋体" w:hAnsi="宋体"/>
          <w:color w:val="000000" w:themeColor="text1"/>
          <w:sz w:val="24"/>
        </w:rPr>
      </w:pPr>
      <w:r>
        <w:rPr>
          <w:rFonts w:hint="eastAsia" w:ascii="宋体" w:hAnsi="宋体" w:cs="宋体"/>
          <w:color w:val="000000" w:themeColor="text1"/>
          <w:sz w:val="24"/>
          <w:szCs w:val="24"/>
        </w:rPr>
        <w:t>一、</w:t>
      </w:r>
      <w:r>
        <w:rPr>
          <w:rFonts w:hint="eastAsia" w:ascii="宋体" w:hAnsi="宋体"/>
          <w:bCs/>
          <w:color w:val="000000" w:themeColor="text1"/>
          <w:sz w:val="24"/>
          <w:szCs w:val="24"/>
        </w:rPr>
        <w:t>自成交通知书发出之日起15日内，成交供应商凭“成交通知书”与采购人签订合同。</w:t>
      </w:r>
      <w:r>
        <w:rPr>
          <w:rFonts w:hint="eastAsia" w:ascii="宋体" w:hAnsi="宋体"/>
          <w:color w:val="000000" w:themeColor="text1"/>
          <w:sz w:val="24"/>
        </w:rPr>
        <w:t>本合同一式肆份，采购单位、成交供应商各贰份，所签合同不得对磋商文件作实质性修改。</w:t>
      </w:r>
      <w:r>
        <w:rPr>
          <w:rFonts w:ascii="宋体" w:hAnsi="宋体"/>
          <w:color w:val="000000" w:themeColor="text1"/>
          <w:sz w:val="24"/>
        </w:rPr>
        <w:t>采购人不得向</w:t>
      </w:r>
      <w:r>
        <w:rPr>
          <w:rFonts w:hint="eastAsia" w:ascii="宋体" w:hAnsi="宋体"/>
          <w:color w:val="000000" w:themeColor="text1"/>
          <w:sz w:val="24"/>
        </w:rPr>
        <w:t>成交供应商</w:t>
      </w:r>
      <w:r>
        <w:rPr>
          <w:rFonts w:ascii="宋体" w:hAnsi="宋体"/>
          <w:color w:val="000000" w:themeColor="text1"/>
          <w:sz w:val="24"/>
        </w:rPr>
        <w:t>提出不合理的要求作为签订合同的条件，不得与</w:t>
      </w:r>
      <w:r>
        <w:rPr>
          <w:rFonts w:hint="eastAsia" w:ascii="宋体" w:hAnsi="宋体"/>
          <w:color w:val="000000" w:themeColor="text1"/>
          <w:sz w:val="24"/>
        </w:rPr>
        <w:t>成交供应商</w:t>
      </w:r>
      <w:r>
        <w:rPr>
          <w:rFonts w:ascii="宋体" w:hAnsi="宋体"/>
          <w:color w:val="000000" w:themeColor="text1"/>
          <w:sz w:val="24"/>
        </w:rPr>
        <w:t>私下订立背离采购文件实质性内容的协议。</w:t>
      </w:r>
    </w:p>
    <w:p>
      <w:pPr>
        <w:snapToGrid w:val="0"/>
        <w:spacing w:line="480" w:lineRule="exact"/>
        <w:ind w:firstLine="494" w:firstLineChars="206"/>
        <w:outlineLvl w:val="1"/>
        <w:rPr>
          <w:rFonts w:ascii="宋体"/>
          <w:color w:val="000000" w:themeColor="text1"/>
          <w:sz w:val="24"/>
          <w:szCs w:val="24"/>
        </w:rPr>
      </w:pPr>
      <w:r>
        <w:rPr>
          <w:rFonts w:hint="eastAsia" w:ascii="宋体" w:hAnsi="宋体" w:cs="宋体"/>
          <w:color w:val="000000" w:themeColor="text1"/>
          <w:sz w:val="24"/>
          <w:szCs w:val="24"/>
        </w:rPr>
        <w:t>二、采购单位按合同约定积极配合成交人履约，成交人履约到位后，请以书面形式向采购单位提出验收申请，采购单位接到申请后原则上在</w:t>
      </w:r>
      <w:r>
        <w:rPr>
          <w:rFonts w:ascii="宋体" w:hAnsi="宋体" w:cs="宋体"/>
          <w:color w:val="000000" w:themeColor="text1"/>
          <w:sz w:val="24"/>
          <w:szCs w:val="24"/>
        </w:rPr>
        <w:t>5</w:t>
      </w:r>
      <w:r>
        <w:rPr>
          <w:rFonts w:hint="eastAsia" w:ascii="宋体" w:hAnsi="宋体" w:cs="宋体"/>
          <w:color w:val="000000" w:themeColor="text1"/>
          <w:sz w:val="24"/>
          <w:szCs w:val="24"/>
        </w:rPr>
        <w:t>个工作日内及时组织相关专业技术人员，必要时邀请质检等部门共同参与验收，并出具验收报告，验收合格的原则上</w:t>
      </w:r>
      <w:r>
        <w:rPr>
          <w:rFonts w:ascii="宋体" w:hAnsi="宋体" w:cs="宋体"/>
          <w:color w:val="000000" w:themeColor="text1"/>
          <w:sz w:val="24"/>
          <w:szCs w:val="24"/>
        </w:rPr>
        <w:t>5</w:t>
      </w:r>
      <w:r>
        <w:rPr>
          <w:rFonts w:hint="eastAsia" w:ascii="宋体" w:hAnsi="宋体" w:cs="宋体"/>
          <w:color w:val="000000" w:themeColor="text1"/>
          <w:sz w:val="24"/>
          <w:szCs w:val="24"/>
        </w:rPr>
        <w:t>个工作日内支付相应款项。</w:t>
      </w:r>
    </w:p>
    <w:p>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五、不响应付款方式的，视同响应文件无效，按无效响应文件处理。</w:t>
      </w:r>
    </w:p>
    <w:p>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六、付款方式详见磋商文件第五章</w:t>
      </w:r>
      <w:r>
        <w:rPr>
          <w:rFonts w:hint="eastAsia"/>
          <w:color w:val="000000" w:themeColor="text1"/>
          <w:sz w:val="24"/>
          <w:szCs w:val="24"/>
        </w:rPr>
        <w:t>，</w:t>
      </w:r>
      <w:r>
        <w:rPr>
          <w:color w:val="000000" w:themeColor="text1"/>
          <w:sz w:val="24"/>
          <w:szCs w:val="24"/>
          <w:shd w:val="clear" w:color="auto" w:fill="FFFFFF"/>
        </w:rPr>
        <w:t>实际付款方式以最终签订采购合同为准</w:t>
      </w:r>
      <w:r>
        <w:rPr>
          <w:rFonts w:hint="eastAsia" w:ascii="宋体" w:hAnsi="宋体" w:cs="宋体"/>
          <w:color w:val="000000" w:themeColor="text1"/>
          <w:sz w:val="24"/>
          <w:szCs w:val="24"/>
        </w:rPr>
        <w:t>。</w:t>
      </w:r>
    </w:p>
    <w:p>
      <w:pPr>
        <w:snapToGrid w:val="0"/>
        <w:spacing w:line="480" w:lineRule="exact"/>
        <w:ind w:firstLine="573"/>
        <w:rPr>
          <w:rFonts w:ascii="宋体"/>
          <w:color w:val="000000" w:themeColor="text1"/>
          <w:sz w:val="24"/>
          <w:szCs w:val="24"/>
        </w:rPr>
      </w:pPr>
      <w:r>
        <w:rPr>
          <w:rFonts w:hint="eastAsia" w:ascii="宋体" w:hAnsi="宋体" w:cs="宋体"/>
          <w:color w:val="000000" w:themeColor="text1"/>
          <w:sz w:val="24"/>
          <w:szCs w:val="24"/>
        </w:rPr>
        <w:t>七、以上项目款的支付不计息。</w:t>
      </w:r>
    </w:p>
    <w:p>
      <w:pPr>
        <w:snapToGrid w:val="0"/>
        <w:spacing w:line="480" w:lineRule="exact"/>
        <w:ind w:firstLine="573"/>
        <w:jc w:val="center"/>
        <w:rPr>
          <w:rFonts w:ascii="宋体"/>
          <w:color w:val="000000" w:themeColor="text1"/>
          <w:sz w:val="24"/>
          <w:szCs w:val="24"/>
        </w:rPr>
      </w:pPr>
      <w:r>
        <w:rPr>
          <w:rFonts w:ascii="宋体"/>
          <w:b/>
          <w:bCs/>
          <w:i/>
          <w:iCs/>
          <w:color w:val="000000" w:themeColor="text1"/>
          <w:kern w:val="44"/>
          <w:sz w:val="44"/>
          <w:szCs w:val="44"/>
        </w:rPr>
        <w:br w:type="page"/>
      </w:r>
      <w:r>
        <w:rPr>
          <w:rFonts w:hint="eastAsia" w:ascii="宋体" w:hAnsi="宋体" w:cs="宋体"/>
          <w:b/>
          <w:bCs/>
          <w:color w:val="000000" w:themeColor="text1"/>
          <w:w w:val="80"/>
          <w:kern w:val="44"/>
          <w:sz w:val="44"/>
          <w:szCs w:val="44"/>
        </w:rPr>
        <w:t>第七章  质疑提出和处理</w:t>
      </w:r>
    </w:p>
    <w:p>
      <w:pPr>
        <w:adjustRightInd w:val="0"/>
        <w:snapToGrid w:val="0"/>
        <w:spacing w:line="500" w:lineRule="exact"/>
        <w:ind w:firstLine="480" w:firstLineChars="200"/>
        <w:contextualSpacing/>
        <w:rPr>
          <w:rFonts w:ascii="宋体" w:hAnsi="宋体"/>
          <w:color w:val="000000" w:themeColor="text1"/>
          <w:sz w:val="24"/>
        </w:rPr>
      </w:pPr>
      <w:bookmarkStart w:id="87" w:name="_Toc363573860"/>
      <w:r>
        <w:rPr>
          <w:rFonts w:ascii="宋体" w:hAnsi="宋体"/>
          <w:color w:val="000000" w:themeColor="text1"/>
          <w:sz w:val="24"/>
        </w:rPr>
        <w:t>一、质疑的提出</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1、质疑人必须是直接参加本次投标活动的当事人。</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2、下载招标文件的供应商应根据第二章“投标供应商须知”中第一条第4款的约定提出；响应文件接收截止后，供应商未进行投标登记的，不能就响应文件接收截止后的招投标过程、</w:t>
      </w:r>
      <w:r>
        <w:rPr>
          <w:rFonts w:hint="eastAsia" w:ascii="宋体" w:hAnsi="宋体"/>
          <w:color w:val="000000" w:themeColor="text1"/>
          <w:sz w:val="24"/>
        </w:rPr>
        <w:t>中标</w:t>
      </w:r>
      <w:r>
        <w:rPr>
          <w:rFonts w:ascii="宋体" w:hAnsi="宋体"/>
          <w:color w:val="000000" w:themeColor="text1"/>
          <w:sz w:val="24"/>
        </w:rPr>
        <w:t>结果提出质疑；在投标过程中，凡主持人或评标小组明确提出须由供应商确认的事项，供应商当场无异议的，事后不得提出质疑。</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对不能提供相关佐证材料的、涉及商业秘密的、非书面形式的、非送达的、匿名的《质疑函》将不予受理。</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相关佐证材料要具备客观性、关联性、合法性，无法查实的（如宣传册、媒体报道、猜测、推理等）不能作为佐证材料。</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采购人或代理机构不负责搜集相关佐证材料等工作。</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二、《质疑函》的受理和回复</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1、《质疑函》须由质疑人的法定代表人</w:t>
      </w:r>
      <w:r>
        <w:rPr>
          <w:rFonts w:hint="eastAsia" w:ascii="宋体" w:hAnsi="宋体"/>
          <w:color w:val="000000" w:themeColor="text1"/>
          <w:sz w:val="24"/>
        </w:rPr>
        <w:t>（</w:t>
      </w:r>
      <w:r>
        <w:rPr>
          <w:rFonts w:ascii="宋体" w:hAnsi="宋体"/>
          <w:color w:val="000000" w:themeColor="text1"/>
          <w:sz w:val="24"/>
        </w:rPr>
        <w:t>或</w:t>
      </w:r>
      <w:r>
        <w:rPr>
          <w:rFonts w:hint="eastAsia" w:ascii="宋体" w:hAnsi="宋体"/>
          <w:color w:val="000000" w:themeColor="text1"/>
          <w:sz w:val="24"/>
        </w:rPr>
        <w:t>负责人）</w:t>
      </w:r>
      <w:r>
        <w:rPr>
          <w:rFonts w:ascii="宋体" w:hAnsi="宋体"/>
          <w:color w:val="000000" w:themeColor="text1"/>
          <w:sz w:val="24"/>
        </w:rPr>
        <w:t>或参加本次投标授权人送达采购人和代理机构。</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3、对不符合提出质疑要求的，出具《质疑退回通知书》并提出相关补充材料要求，质疑人未在规定的时间内提供补充佐证材料的，视同放弃质疑。</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4、采购单位、代理机构负责将质疑人提出的质疑相关材料提供给相关专家或评标小组审核，并将审核意见回复质疑人。</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5、因质疑情况复杂，组织论证或审查时间较长的，采购单位、代理机构以书面形式通知质疑人，可适当延长质疑回复处理时间。</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三、质疑处理</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1、质疑成立的处理。采购单位或代理机构终止采购，并建议有关部门给相关当事人予以处理。</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2、质疑不成立的处理。</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1）质疑人书面《申请撤回质疑函》的，不作违约处理。</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2）质疑人在规定的时间内不配合进行质疑调查处理的，按自动撤回《质疑函》处理。</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3）质疑人不按《质疑函》格式就提出质疑的，作违约处理。同时，视情列入不良供应商名单。</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4）质疑人虽提供了相关佐证材料，但不能证明其质疑成立的，采购单位或代理机构请质疑人补充相关佐证材料，仍不能证明其质疑成立的，作违约处理。并将其列入不良供应商名单。</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5）质疑人不能提供相关佐证材料的，采购单位、代理机构已指出，质疑人仍然坚持提出质疑的，作违约处理。同时，列入不良供应商名单。</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6）对明显有违事实的、经相关专家或评标小组认定无依据的、经其他供应商举证无依据的质疑，作违约处理，列入不良供应商名单。</w:t>
      </w:r>
    </w:p>
    <w:p>
      <w:pPr>
        <w:adjustRightInd w:val="0"/>
        <w:snapToGrid w:val="0"/>
        <w:spacing w:line="500" w:lineRule="exact"/>
        <w:ind w:firstLine="480" w:firstLineChars="200"/>
        <w:contextualSpacing/>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7）质疑人承担使用虚假材料或恶意方式质疑的法律责任。</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四、无佐证材料的举报作违约处理。供应商不得进行不提供相关佐证材料（含无法查实的如宣传册、媒体报道、猜测、推理等）向有关部门的举报，否则作违约处理。</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五、投诉不成立的作违约处理。供应商进行质疑后，采购人回复质疑不成立，供应商仍进行投诉的，并最终投诉不成立的，作违约处理。采购人有权对其在1至3年内禁入由采购人组织的采购活动的违约处理。</w:t>
      </w:r>
    </w:p>
    <w:p>
      <w:pPr>
        <w:adjustRightInd w:val="0"/>
        <w:snapToGrid w:val="0"/>
        <w:spacing w:line="500" w:lineRule="exact"/>
        <w:ind w:firstLine="480" w:firstLineChars="200"/>
        <w:contextualSpacing/>
        <w:rPr>
          <w:rFonts w:ascii="宋体" w:hAnsi="宋体"/>
          <w:color w:val="000000" w:themeColor="text1"/>
          <w:sz w:val="24"/>
        </w:rPr>
      </w:pPr>
      <w:r>
        <w:rPr>
          <w:rFonts w:ascii="宋体" w:hAnsi="宋体"/>
          <w:color w:val="000000" w:themeColor="text1"/>
          <w:sz w:val="24"/>
        </w:rPr>
        <w:t>六、《质疑函》、《质疑回复函》，质疑、举报、投诉不成立的等相关情况，视情在南通政府采购网、省、国家级等相关媒体予以披露。并建议相关政府采购机构对该供应商同步实施1至3年内禁入。</w:t>
      </w:r>
    </w:p>
    <w:p>
      <w:pPr>
        <w:pStyle w:val="5"/>
        <w:keepNext w:val="0"/>
        <w:keepLines w:val="0"/>
        <w:numPr>
          <w:ilvl w:val="0"/>
          <w:numId w:val="0"/>
        </w:numPr>
        <w:snapToGrid w:val="0"/>
        <w:spacing w:before="0" w:afterLines="50" w:line="520" w:lineRule="exact"/>
        <w:ind w:left="420"/>
        <w:jc w:val="center"/>
        <w:rPr>
          <w:rFonts w:ascii="宋体" w:cs="Times New Roman"/>
          <w:color w:val="000000" w:themeColor="text1"/>
        </w:rPr>
      </w:pPr>
      <w:r>
        <w:rPr>
          <w:rFonts w:ascii="宋体" w:hAnsi="宋体" w:cs="宋体"/>
          <w:bCs w:val="0"/>
          <w:color w:val="000000" w:themeColor="text1"/>
          <w:w w:val="80"/>
          <w:sz w:val="24"/>
          <w:szCs w:val="21"/>
        </w:rPr>
        <w:br w:type="page"/>
      </w:r>
      <w:r>
        <w:rPr>
          <w:rFonts w:hint="eastAsia" w:ascii="宋体" w:hAnsi="宋体" w:cs="宋体"/>
          <w:color w:val="000000" w:themeColor="text1"/>
          <w:w w:val="80"/>
        </w:rPr>
        <w:t>第八章  响应文件组成及格式</w:t>
      </w:r>
      <w:bookmarkEnd w:id="87"/>
    </w:p>
    <w:p>
      <w:pPr>
        <w:widowControl/>
        <w:snapToGrid w:val="0"/>
        <w:spacing w:line="360" w:lineRule="auto"/>
        <w:ind w:firstLine="472" w:firstLineChars="196"/>
        <w:jc w:val="left"/>
        <w:rPr>
          <w:rFonts w:ascii="宋体"/>
          <w:b/>
          <w:bCs/>
          <w:color w:val="000000" w:themeColor="text1"/>
          <w:sz w:val="24"/>
          <w:szCs w:val="24"/>
        </w:rPr>
      </w:pPr>
      <w:r>
        <w:rPr>
          <w:rFonts w:hint="eastAsia" w:ascii="宋体" w:hAnsi="宋体" w:cs="宋体"/>
          <w:b/>
          <w:bCs/>
          <w:color w:val="000000" w:themeColor="text1"/>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widowControl/>
        <w:snapToGrid w:val="0"/>
        <w:spacing w:line="360" w:lineRule="auto"/>
        <w:ind w:firstLine="472" w:firstLineChars="196"/>
        <w:jc w:val="left"/>
        <w:rPr>
          <w:rFonts w:ascii="宋体" w:hAnsi="宋体" w:cs="宋体"/>
          <w:b/>
          <w:bCs/>
          <w:color w:val="000000" w:themeColor="text1"/>
          <w:sz w:val="24"/>
          <w:szCs w:val="24"/>
          <w:lang w:val="zh-CN"/>
        </w:rPr>
      </w:pPr>
      <w:r>
        <w:rPr>
          <w:rFonts w:hint="eastAsia" w:ascii="宋体" w:hAnsi="宋体" w:cs="宋体"/>
          <w:b/>
          <w:bCs/>
          <w:color w:val="000000" w:themeColor="text1"/>
          <w:sz w:val="24"/>
          <w:szCs w:val="24"/>
        </w:rPr>
        <w:t>一、资格审查文件</w:t>
      </w:r>
      <w:r>
        <w:rPr>
          <w:rFonts w:hint="eastAsia" w:ascii="宋体" w:hAnsi="宋体" w:cs="宋体"/>
          <w:b/>
          <w:bCs/>
          <w:color w:val="000000" w:themeColor="text1"/>
          <w:sz w:val="24"/>
          <w:szCs w:val="24"/>
          <w:lang w:val="zh-CN"/>
        </w:rPr>
        <w:t>（</w:t>
      </w:r>
      <w:r>
        <w:rPr>
          <w:rFonts w:hint="eastAsia" w:ascii="宋体" w:hAnsi="宋体" w:cs="宋体"/>
          <w:b/>
          <w:bCs/>
          <w:color w:val="000000" w:themeColor="text1"/>
          <w:sz w:val="24"/>
          <w:szCs w:val="24"/>
        </w:rPr>
        <w:t>单独密封</w:t>
      </w:r>
      <w:r>
        <w:rPr>
          <w:rFonts w:hint="eastAsia" w:ascii="宋体" w:hAnsi="宋体" w:cs="宋体"/>
          <w:b/>
          <w:bCs/>
          <w:color w:val="000000" w:themeColor="text1"/>
          <w:sz w:val="24"/>
          <w:szCs w:val="24"/>
          <w:lang w:val="zh-CN"/>
        </w:rPr>
        <w:t>）</w:t>
      </w:r>
    </w:p>
    <w:p>
      <w:pPr>
        <w:pStyle w:val="2"/>
        <w:ind w:firstLine="480"/>
        <w:rPr>
          <w:rFonts w:ascii="宋体" w:hAnsi="宋体"/>
          <w:color w:val="000000" w:themeColor="text1"/>
        </w:rPr>
      </w:pPr>
      <w:r>
        <w:rPr>
          <w:rFonts w:hint="eastAsia" w:ascii="宋体" w:hAnsi="宋体"/>
          <w:color w:val="000000" w:themeColor="text1"/>
        </w:rPr>
        <w:t>1、法定代表人身份证明书（格式见附件1）；</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2、法定代表人授权委托书原件，投标代表本人身份证复印件；（如有授权，格式见附件2）</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3、供应商符合《政府采购法》第二十二条规定条件的声明函（格式见附件3）；</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4、关于资格的声明函；（格式见附件4）</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5、供应商的企业法人营业执照（副本）复印件及税务登记证（副本）复印件；或者是三证合一的营业执照（副本）复印件；</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6、其它需要提交的资格审查证明材料。</w:t>
      </w:r>
    </w:p>
    <w:p>
      <w:pPr>
        <w:widowControl/>
        <w:snapToGrid w:val="0"/>
        <w:spacing w:line="360" w:lineRule="auto"/>
        <w:ind w:firstLine="470" w:firstLineChars="196"/>
        <w:jc w:val="left"/>
        <w:rPr>
          <w:rFonts w:ascii="宋体"/>
          <w:color w:val="000000" w:themeColor="text1"/>
          <w:sz w:val="24"/>
          <w:szCs w:val="24"/>
        </w:rPr>
      </w:pPr>
      <w:r>
        <w:rPr>
          <w:rFonts w:hint="eastAsia" w:ascii="宋体" w:hAnsi="宋体" w:cs="宋体"/>
          <w:color w:val="000000" w:themeColor="text1"/>
          <w:sz w:val="24"/>
          <w:szCs w:val="24"/>
        </w:rPr>
        <w:t>注：以上材料如为复印件均需加盖单位公章。</w:t>
      </w:r>
    </w:p>
    <w:p>
      <w:pPr>
        <w:widowControl/>
        <w:snapToGrid w:val="0"/>
        <w:spacing w:line="360" w:lineRule="auto"/>
        <w:ind w:firstLine="472" w:firstLineChars="196"/>
        <w:jc w:val="left"/>
        <w:rPr>
          <w:rFonts w:ascii="宋体" w:hAnsi="宋体" w:cs="宋体"/>
          <w:b/>
          <w:bCs/>
          <w:color w:val="000000" w:themeColor="text1"/>
          <w:sz w:val="24"/>
          <w:szCs w:val="24"/>
        </w:rPr>
      </w:pPr>
      <w:r>
        <w:rPr>
          <w:rFonts w:hint="eastAsia" w:ascii="宋体" w:hAnsi="宋体" w:cs="宋体"/>
          <w:b/>
          <w:bCs/>
          <w:color w:val="000000" w:themeColor="text1"/>
          <w:sz w:val="24"/>
          <w:szCs w:val="24"/>
        </w:rPr>
        <w:t>二、技术响应文件（单独密封）：</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1、竞争性磋商响应函（格式见附件5）。</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2、评审评分项技术响应评分中所涉及的事项需提供的所有资料。</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3、评审评分项中未涉及的事项，投标人认为需要提交的其他资料。</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 xml:space="preserve"> 4、磋商文件项目需求中要求提供的其他材料。</w:t>
      </w:r>
    </w:p>
    <w:p>
      <w:pPr>
        <w:widowControl/>
        <w:snapToGrid w:val="0"/>
        <w:spacing w:line="360" w:lineRule="auto"/>
        <w:ind w:firstLine="470" w:firstLineChars="196"/>
        <w:jc w:val="left"/>
        <w:rPr>
          <w:rFonts w:ascii="宋体" w:hAnsi="宋体"/>
          <w:color w:val="000000" w:themeColor="text1"/>
          <w:sz w:val="24"/>
          <w:szCs w:val="24"/>
        </w:rPr>
      </w:pPr>
      <w:r>
        <w:rPr>
          <w:rFonts w:hint="eastAsia" w:ascii="宋体" w:hAnsi="宋体"/>
          <w:color w:val="000000" w:themeColor="text1"/>
          <w:sz w:val="24"/>
          <w:szCs w:val="24"/>
        </w:rPr>
        <w:t>注：为方便评委评审，请投标供应商按评审评分项中所涉及的事项顺序进行编制，可以补充相关材料。</w:t>
      </w:r>
    </w:p>
    <w:p>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特别提醒：“资格审查文件”所须提供的材料（须加盖投标供应商公章）按招标文件要求装订，密封，递交。</w:t>
      </w:r>
    </w:p>
    <w:p>
      <w:pPr>
        <w:widowControl/>
        <w:snapToGrid w:val="0"/>
        <w:spacing w:line="360" w:lineRule="auto"/>
        <w:ind w:firstLine="472" w:firstLineChars="196"/>
        <w:jc w:val="left"/>
        <w:rPr>
          <w:rFonts w:ascii="宋体"/>
          <w:b/>
          <w:bCs/>
          <w:color w:val="000000" w:themeColor="text1"/>
          <w:sz w:val="24"/>
          <w:szCs w:val="24"/>
        </w:rPr>
      </w:pPr>
      <w:r>
        <w:rPr>
          <w:rFonts w:hint="eastAsia" w:ascii="宋体" w:hAnsi="宋体" w:cs="宋体"/>
          <w:b/>
          <w:bCs/>
          <w:color w:val="000000" w:themeColor="text1"/>
          <w:sz w:val="24"/>
          <w:szCs w:val="24"/>
        </w:rPr>
        <w:t>三、商务报价响应文件（单独密封）</w:t>
      </w:r>
    </w:p>
    <w:p>
      <w:pPr>
        <w:widowControl/>
        <w:snapToGrid w:val="0"/>
        <w:spacing w:line="360" w:lineRule="auto"/>
        <w:ind w:firstLine="470" w:firstLineChars="196"/>
        <w:jc w:val="left"/>
        <w:rPr>
          <w:rFonts w:cs="宋体"/>
          <w:color w:val="000000" w:themeColor="text1"/>
          <w:sz w:val="24"/>
          <w:szCs w:val="24"/>
        </w:rPr>
      </w:pPr>
      <w:r>
        <w:rPr>
          <w:rFonts w:cs="宋体"/>
          <w:color w:val="000000" w:themeColor="text1"/>
          <w:sz w:val="24"/>
          <w:szCs w:val="24"/>
        </w:rPr>
        <w:t>1</w:t>
      </w:r>
      <w:r>
        <w:rPr>
          <w:rFonts w:hint="eastAsia" w:cs="宋体"/>
          <w:color w:val="000000" w:themeColor="text1"/>
          <w:sz w:val="24"/>
          <w:szCs w:val="24"/>
        </w:rPr>
        <w:t>、磋商响应报价表（首次）。（</w:t>
      </w:r>
      <w:r>
        <w:rPr>
          <w:rFonts w:hint="eastAsia" w:ascii="宋体" w:hAnsi="宋体"/>
          <w:color w:val="000000" w:themeColor="text1"/>
          <w:sz w:val="24"/>
          <w:szCs w:val="24"/>
        </w:rPr>
        <w:t>格式见附件6</w:t>
      </w:r>
      <w:r>
        <w:rPr>
          <w:rFonts w:hint="eastAsia" w:cs="宋体"/>
          <w:color w:val="000000" w:themeColor="text1"/>
          <w:sz w:val="24"/>
          <w:szCs w:val="24"/>
        </w:rPr>
        <w:t>）</w:t>
      </w:r>
    </w:p>
    <w:p>
      <w:pPr>
        <w:widowControl/>
        <w:snapToGrid w:val="0"/>
        <w:spacing w:line="360" w:lineRule="auto"/>
        <w:ind w:firstLine="470" w:firstLineChars="196"/>
        <w:jc w:val="left"/>
        <w:rPr>
          <w:rFonts w:cs="宋体"/>
          <w:color w:val="000000" w:themeColor="text1"/>
          <w:sz w:val="24"/>
          <w:szCs w:val="24"/>
        </w:rPr>
      </w:pPr>
      <w:r>
        <w:rPr>
          <w:rFonts w:cs="宋体"/>
          <w:color w:val="000000" w:themeColor="text1"/>
          <w:sz w:val="24"/>
          <w:szCs w:val="24"/>
        </w:rPr>
        <w:t>2</w:t>
      </w:r>
      <w:r>
        <w:rPr>
          <w:rFonts w:hint="eastAsia" w:cs="宋体"/>
          <w:color w:val="000000" w:themeColor="text1"/>
          <w:sz w:val="24"/>
          <w:szCs w:val="24"/>
        </w:rPr>
        <w:t>、磋商响应报价明细表。（格式自拟）</w:t>
      </w:r>
    </w:p>
    <w:p>
      <w:pPr>
        <w:pStyle w:val="2"/>
        <w:ind w:firstLine="480"/>
        <w:rPr>
          <w:color w:val="000000" w:themeColor="text1"/>
        </w:rPr>
      </w:pPr>
    </w:p>
    <w:p>
      <w:pPr>
        <w:pStyle w:val="2"/>
        <w:ind w:firstLine="480"/>
        <w:rPr>
          <w:color w:val="000000" w:themeColor="text1"/>
        </w:rPr>
      </w:pPr>
    </w:p>
    <w:p>
      <w:pPr>
        <w:pStyle w:val="2"/>
        <w:ind w:firstLine="480"/>
        <w:rPr>
          <w:color w:val="000000" w:themeColor="text1"/>
        </w:rPr>
      </w:pPr>
    </w:p>
    <w:p>
      <w:pPr>
        <w:pStyle w:val="2"/>
        <w:ind w:firstLine="480"/>
        <w:rPr>
          <w:color w:val="000000" w:themeColor="text1"/>
        </w:rPr>
      </w:pPr>
    </w:p>
    <w:p>
      <w:pPr>
        <w:widowControl/>
        <w:snapToGrid w:val="0"/>
        <w:spacing w:line="360" w:lineRule="auto"/>
        <w:jc w:val="left"/>
        <w:rPr>
          <w:rFonts w:ascii="宋体"/>
          <w:b/>
          <w:bCs/>
          <w:color w:val="000000" w:themeColor="text1"/>
          <w:sz w:val="28"/>
          <w:szCs w:val="28"/>
        </w:rPr>
      </w:pPr>
      <w:r>
        <w:rPr>
          <w:rFonts w:hint="eastAsia" w:ascii="宋体" w:hAnsi="宋体" w:cs="宋体"/>
          <w:b/>
          <w:bCs/>
          <w:color w:val="000000" w:themeColor="text1"/>
          <w:sz w:val="28"/>
          <w:szCs w:val="28"/>
        </w:rPr>
        <w:t>附件：</w:t>
      </w:r>
    </w:p>
    <w:p>
      <w:pPr>
        <w:snapToGrid w:val="0"/>
        <w:spacing w:beforeLines="100" w:line="420" w:lineRule="exact"/>
        <w:jc w:val="center"/>
        <w:outlineLvl w:val="4"/>
        <w:rPr>
          <w:rFonts w:ascii="宋体" w:hAnsi="宋体" w:cs="宋体"/>
          <w:b/>
          <w:bCs/>
          <w:sz w:val="28"/>
          <w:szCs w:val="28"/>
        </w:rPr>
      </w:pPr>
      <w:r>
        <w:rPr>
          <w:rFonts w:hint="eastAsia" w:ascii="宋体" w:hAnsi="宋体" w:cs="宋体"/>
          <w:b/>
          <w:bCs/>
          <w:sz w:val="28"/>
          <w:szCs w:val="28"/>
        </w:rPr>
        <w:t>1</w:t>
      </w:r>
      <w:r>
        <w:rPr>
          <w:rFonts w:ascii="宋体" w:hAnsi="宋体" w:cs="宋体"/>
          <w:b/>
          <w:bCs/>
          <w:sz w:val="28"/>
          <w:szCs w:val="28"/>
        </w:rPr>
        <w:t>、法定代表人身份证明</w:t>
      </w:r>
    </w:p>
    <w:p>
      <w:pPr>
        <w:snapToGrid w:val="0"/>
        <w:spacing w:beforeLines="100" w:afterLines="100" w:line="420" w:lineRule="exact"/>
        <w:rPr>
          <w:rFonts w:ascii="宋体" w:hAnsi="宋体" w:cs="宋体"/>
          <w:sz w:val="24"/>
          <w:szCs w:val="24"/>
        </w:rPr>
      </w:pPr>
      <w:bookmarkStart w:id="88" w:name="_Hlk49178957"/>
      <w:r>
        <w:rPr>
          <w:rFonts w:hint="eastAsia" w:ascii="宋体" w:hAnsi="宋体" w:cs="宋体"/>
          <w:sz w:val="24"/>
          <w:szCs w:val="24"/>
        </w:rPr>
        <w:t>江苏大生集团有限公司：</w:t>
      </w:r>
      <w:bookmarkEnd w:id="88"/>
    </w:p>
    <w:p>
      <w:pPr>
        <w:snapToGrid w:val="0"/>
        <w:spacing w:line="420" w:lineRule="exact"/>
        <w:ind w:firstLine="480" w:firstLineChars="200"/>
        <w:rPr>
          <w:rFonts w:ascii="宋体" w:hAnsi="宋体" w:cs="宋体"/>
          <w:sz w:val="24"/>
          <w:szCs w:val="24"/>
        </w:rPr>
      </w:pPr>
      <w:r>
        <w:rPr>
          <w:rFonts w:hint="eastAsia" w:ascii="宋体" w:hAnsi="宋体" w:cs="宋体"/>
          <w:sz w:val="24"/>
          <w:szCs w:val="24"/>
          <w:u w:val="single"/>
        </w:rPr>
        <w:t>　　　　　</w:t>
      </w:r>
      <w:r>
        <w:rPr>
          <w:rFonts w:hint="eastAsia" w:ascii="宋体" w:hAnsi="宋体" w:cs="宋体"/>
          <w:sz w:val="24"/>
          <w:szCs w:val="24"/>
        </w:rPr>
        <w:t>（先生／女士）现任我单位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pPr>
        <w:snapToGrid w:val="0"/>
        <w:spacing w:line="420" w:lineRule="exact"/>
        <w:ind w:firstLine="480" w:firstLineChars="200"/>
        <w:rPr>
          <w:rFonts w:ascii="宋体" w:hAnsi="宋体" w:cs="宋体"/>
          <w:sz w:val="24"/>
          <w:szCs w:val="24"/>
        </w:rPr>
      </w:pPr>
      <w:r>
        <w:rPr>
          <w:rFonts w:hint="eastAsia" w:ascii="宋体" w:hAnsi="宋体" w:cs="宋体"/>
          <w:sz w:val="24"/>
          <w:szCs w:val="24"/>
        </w:rPr>
        <w:t>身份证号码：</w:t>
      </w:r>
    </w:p>
    <w:p>
      <w:pPr>
        <w:snapToGrid w:val="0"/>
        <w:spacing w:line="420" w:lineRule="exact"/>
        <w:ind w:firstLine="480" w:firstLineChars="200"/>
        <w:rPr>
          <w:rFonts w:ascii="宋体" w:hAnsi="宋体" w:cs="宋体"/>
          <w:sz w:val="24"/>
          <w:szCs w:val="24"/>
        </w:rPr>
      </w:pPr>
    </w:p>
    <w:p>
      <w:pPr>
        <w:snapToGrid w:val="0"/>
        <w:spacing w:line="420" w:lineRule="exact"/>
        <w:ind w:firstLine="480" w:firstLineChars="200"/>
        <w:rPr>
          <w:rFonts w:ascii="宋体" w:hAnsi="宋体" w:cs="宋体"/>
          <w:sz w:val="24"/>
          <w:szCs w:val="24"/>
          <w:u w:val="single"/>
        </w:rPr>
      </w:pPr>
    </w:p>
    <w:p>
      <w:pPr>
        <w:snapToGrid w:val="0"/>
        <w:spacing w:line="420" w:lineRule="exact"/>
        <w:ind w:right="960" w:firstLine="484" w:firstLineChars="202"/>
        <w:jc w:val="center"/>
        <w:rPr>
          <w:rFonts w:ascii="宋体" w:hAnsi="宋体" w:cs="宋体"/>
          <w:sz w:val="24"/>
          <w:szCs w:val="24"/>
        </w:rPr>
      </w:pPr>
      <w:r>
        <w:rPr>
          <w:rFonts w:hint="eastAsia" w:ascii="宋体" w:hAnsi="宋体" w:cs="宋体"/>
          <w:sz w:val="24"/>
          <w:szCs w:val="24"/>
        </w:rPr>
        <w:t>供应商（盖章）</w:t>
      </w:r>
    </w:p>
    <w:p>
      <w:pPr>
        <w:snapToGrid w:val="0"/>
        <w:spacing w:line="420" w:lineRule="exact"/>
        <w:ind w:right="960" w:firstLine="484" w:firstLineChars="202"/>
        <w:jc w:val="center"/>
        <w:rPr>
          <w:rFonts w:ascii="宋体" w:hAnsi="宋体" w:cs="宋体"/>
          <w:sz w:val="24"/>
          <w:szCs w:val="24"/>
        </w:rPr>
      </w:pPr>
      <w:r>
        <w:rPr>
          <w:rFonts w:hint="eastAsia" w:ascii="宋体" w:hAnsi="宋体" w:cs="宋体"/>
          <w:sz w:val="24"/>
          <w:szCs w:val="24"/>
        </w:rPr>
        <w:t>年  月  日</w:t>
      </w:r>
    </w:p>
    <w:p>
      <w:pPr>
        <w:snapToGrid w:val="0"/>
        <w:spacing w:line="420" w:lineRule="exact"/>
        <w:ind w:firstLine="484" w:firstLineChars="202"/>
        <w:jc w:val="left"/>
        <w:rPr>
          <w:rFonts w:ascii="宋体" w:hAnsi="宋体" w:cs="宋体"/>
          <w:sz w:val="24"/>
          <w:szCs w:val="24"/>
        </w:rPr>
      </w:pPr>
    </w:p>
    <w:tbl>
      <w:tblPr>
        <w:tblStyle w:val="53"/>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84" w:firstLineChars="202"/>
              <w:jc w:val="left"/>
              <w:rPr>
                <w:rFonts w:ascii="宋体" w:hAnsi="宋体" w:cs="宋体"/>
                <w:sz w:val="24"/>
                <w:szCs w:val="24"/>
              </w:rPr>
            </w:pPr>
          </w:p>
          <w:p>
            <w:pPr>
              <w:snapToGrid w:val="0"/>
              <w:spacing w:line="420" w:lineRule="exact"/>
              <w:ind w:firstLine="484" w:firstLineChars="202"/>
              <w:jc w:val="left"/>
              <w:rPr>
                <w:rFonts w:ascii="宋体" w:hAnsi="宋体" w:cs="宋体"/>
                <w:sz w:val="24"/>
                <w:szCs w:val="24"/>
              </w:rPr>
            </w:pPr>
          </w:p>
          <w:p>
            <w:pPr>
              <w:snapToGrid w:val="0"/>
              <w:spacing w:line="420" w:lineRule="exact"/>
              <w:jc w:val="center"/>
              <w:rPr>
                <w:rFonts w:ascii="宋体" w:hAnsi="宋体" w:cs="宋体"/>
                <w:b/>
                <w:bCs/>
                <w:sz w:val="24"/>
                <w:szCs w:val="24"/>
              </w:rPr>
            </w:pPr>
            <w:r>
              <w:rPr>
                <w:rFonts w:hint="eastAsia" w:ascii="宋体" w:hAnsi="宋体" w:cs="宋体"/>
                <w:b/>
                <w:bCs/>
                <w:sz w:val="24"/>
                <w:szCs w:val="24"/>
              </w:rPr>
              <w:t>法定代表人身份证（正、反面）复印件或扫描件</w:t>
            </w: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sz w:val="24"/>
                <w:szCs w:val="24"/>
              </w:rPr>
            </w:pPr>
          </w:p>
        </w:tc>
      </w:tr>
    </w:tbl>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ind w:firstLine="480" w:firstLineChars="200"/>
        <w:jc w:val="left"/>
        <w:rPr>
          <w:rFonts w:ascii="宋体" w:hAnsi="宋体" w:cs="宋体"/>
          <w:sz w:val="24"/>
          <w:szCs w:val="24"/>
        </w:rPr>
      </w:pPr>
      <w:r>
        <w:rPr>
          <w:rFonts w:hint="eastAsia" w:ascii="宋体" w:hAnsi="宋体" w:cs="宋体"/>
          <w:sz w:val="24"/>
          <w:szCs w:val="24"/>
        </w:rPr>
        <w:t>注：</w:t>
      </w:r>
    </w:p>
    <w:p>
      <w:pPr>
        <w:snapToGrid w:val="0"/>
        <w:spacing w:line="420" w:lineRule="exact"/>
        <w:ind w:firstLine="480" w:firstLineChars="200"/>
        <w:jc w:val="left"/>
        <w:rPr>
          <w:rFonts w:ascii="宋体" w:hAnsi="宋体" w:cs="宋体"/>
          <w:sz w:val="24"/>
          <w:szCs w:val="24"/>
        </w:rPr>
      </w:pPr>
      <w:r>
        <w:rPr>
          <w:rFonts w:hint="eastAsia" w:ascii="宋体" w:hAnsi="宋体" w:cs="宋体"/>
          <w:sz w:val="24"/>
          <w:szCs w:val="24"/>
        </w:rPr>
        <w:t>如为法定代表人参加项目竞争性磋商响应，须将身份证原件带至竞争性磋商现场备查。</w:t>
      </w:r>
    </w:p>
    <w:p>
      <w:pPr>
        <w:snapToGrid w:val="0"/>
        <w:spacing w:line="420" w:lineRule="exact"/>
        <w:jc w:val="left"/>
        <w:rPr>
          <w:rFonts w:ascii="宋体" w:hAnsi="宋体" w:cs="宋体"/>
          <w:sz w:val="24"/>
          <w:szCs w:val="24"/>
        </w:rPr>
      </w:pPr>
      <w:r>
        <w:rPr>
          <w:rFonts w:hint="eastAsia" w:ascii="宋体" w:hAnsi="宋体" w:cs="宋体"/>
          <w:sz w:val="24"/>
          <w:szCs w:val="24"/>
        </w:rPr>
        <w:t xml:space="preserve">    如为被委托受权人参加项目竞争性磋商响应，无须将法定代表人身份证原件带至竞争性磋商现场备查，仅需提供本证明。</w:t>
      </w: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napToGrid w:val="0"/>
        <w:spacing w:line="420" w:lineRule="exact"/>
        <w:jc w:val="center"/>
        <w:outlineLvl w:val="4"/>
        <w:rPr>
          <w:rFonts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、法定代表人授权委托书（如有授权，须提供）</w:t>
      </w:r>
    </w:p>
    <w:p>
      <w:pPr>
        <w:snapToGrid w:val="0"/>
        <w:spacing w:beforeLines="100" w:afterLines="100" w:line="420" w:lineRule="exact"/>
        <w:rPr>
          <w:rFonts w:ascii="宋体" w:hAnsi="宋体" w:cs="宋体"/>
          <w:sz w:val="24"/>
          <w:szCs w:val="24"/>
        </w:rPr>
      </w:pPr>
      <w:r>
        <w:rPr>
          <w:rFonts w:hint="eastAsia" w:ascii="宋体" w:hAnsi="宋体" w:cs="宋体"/>
          <w:sz w:val="24"/>
          <w:szCs w:val="24"/>
        </w:rPr>
        <w:t>江苏大生集团有限公司：</w:t>
      </w:r>
    </w:p>
    <w:p>
      <w:pPr>
        <w:snapToGrid w:val="0"/>
        <w:spacing w:line="360" w:lineRule="auto"/>
        <w:ind w:firstLine="484" w:firstLineChars="202"/>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w:t>
      </w:r>
      <w:r>
        <w:rPr>
          <w:rFonts w:hint="eastAsia" w:ascii="宋体" w:hAnsi="宋体" w:cs="宋体"/>
          <w:sz w:val="24"/>
          <w:szCs w:val="24"/>
          <w:u w:val="single"/>
        </w:rPr>
        <w:t>　　</w:t>
      </w:r>
      <w:r>
        <w:rPr>
          <w:rFonts w:hint="eastAsia" w:ascii="宋体" w:hAnsi="宋体" w:cs="宋体"/>
          <w:sz w:val="24"/>
          <w:szCs w:val="24"/>
        </w:rPr>
        <w:t>（姓名）为我公司为被委托受权人，以本公司的名义参加本项目的竞争性磋商响应活动。被委托受权人在开标、评审谈判活动、合同谈判过程中所签署的一切文件和处理与之有关的一切事务，我均予以承认。</w:t>
      </w:r>
    </w:p>
    <w:p>
      <w:pPr>
        <w:snapToGrid w:val="0"/>
        <w:spacing w:line="360" w:lineRule="auto"/>
        <w:ind w:firstLine="484" w:firstLineChars="202"/>
        <w:rPr>
          <w:rFonts w:ascii="宋体" w:hAnsi="宋体" w:cs="宋体"/>
          <w:sz w:val="24"/>
          <w:szCs w:val="24"/>
        </w:rPr>
      </w:pPr>
      <w:r>
        <w:rPr>
          <w:rFonts w:hint="eastAsia" w:ascii="宋体" w:hAnsi="宋体" w:cs="宋体"/>
          <w:sz w:val="24"/>
          <w:szCs w:val="24"/>
        </w:rPr>
        <w:t>被委托受权人无转委权。特此委托。</w:t>
      </w:r>
    </w:p>
    <w:p>
      <w:pPr>
        <w:snapToGrid w:val="0"/>
        <w:spacing w:line="360" w:lineRule="auto"/>
        <w:ind w:firstLine="972" w:firstLineChars="405"/>
        <w:rPr>
          <w:rFonts w:ascii="宋体" w:hAnsi="宋体" w:cs="宋体"/>
          <w:sz w:val="24"/>
          <w:szCs w:val="24"/>
        </w:rPr>
      </w:pPr>
      <w:r>
        <w:rPr>
          <w:rFonts w:hint="eastAsia" w:ascii="宋体" w:hAnsi="宋体" w:cs="宋体"/>
          <w:sz w:val="24"/>
          <w:szCs w:val="24"/>
        </w:rPr>
        <w:t>法定代表人签字：</w:t>
      </w:r>
    </w:p>
    <w:p>
      <w:pPr>
        <w:snapToGrid w:val="0"/>
        <w:spacing w:line="360" w:lineRule="auto"/>
        <w:ind w:firstLine="972" w:firstLineChars="405"/>
        <w:rPr>
          <w:rFonts w:ascii="宋体" w:hAnsi="宋体" w:cs="宋体"/>
          <w:sz w:val="24"/>
          <w:szCs w:val="24"/>
        </w:rPr>
      </w:pPr>
      <w:r>
        <w:rPr>
          <w:rFonts w:hint="eastAsia" w:ascii="宋体" w:hAnsi="宋体" w:cs="宋体"/>
          <w:sz w:val="24"/>
          <w:szCs w:val="24"/>
        </w:rPr>
        <w:t>被委托受权人身份证号：</w:t>
      </w:r>
    </w:p>
    <w:p>
      <w:pPr>
        <w:snapToGrid w:val="0"/>
        <w:spacing w:line="360" w:lineRule="auto"/>
        <w:ind w:firstLine="972" w:firstLineChars="405"/>
        <w:rPr>
          <w:rFonts w:ascii="宋体" w:hAnsi="宋体" w:cs="宋体"/>
          <w:sz w:val="24"/>
          <w:szCs w:val="24"/>
        </w:rPr>
      </w:pPr>
      <w:r>
        <w:rPr>
          <w:rFonts w:hint="eastAsia" w:ascii="宋体" w:hAnsi="宋体" w:cs="宋体"/>
          <w:sz w:val="24"/>
          <w:szCs w:val="24"/>
        </w:rPr>
        <w:t>被委托受权人签字：</w:t>
      </w:r>
    </w:p>
    <w:p>
      <w:pPr>
        <w:snapToGrid w:val="0"/>
        <w:spacing w:line="360" w:lineRule="auto"/>
        <w:ind w:firstLine="484" w:firstLineChars="202"/>
        <w:jc w:val="right"/>
        <w:rPr>
          <w:rFonts w:ascii="宋体" w:hAnsi="宋体" w:cs="宋体"/>
          <w:sz w:val="24"/>
          <w:szCs w:val="24"/>
        </w:rPr>
      </w:pPr>
      <w:r>
        <w:rPr>
          <w:rFonts w:hint="eastAsia" w:ascii="宋体" w:hAnsi="宋体" w:cs="宋体"/>
          <w:sz w:val="24"/>
          <w:szCs w:val="24"/>
        </w:rPr>
        <w:t>供应商（盖章）</w:t>
      </w:r>
    </w:p>
    <w:p>
      <w:pPr>
        <w:snapToGrid w:val="0"/>
        <w:spacing w:line="360" w:lineRule="auto"/>
        <w:ind w:firstLine="484" w:firstLineChars="202"/>
        <w:jc w:val="right"/>
        <w:rPr>
          <w:rFonts w:ascii="宋体" w:hAnsi="宋体" w:cs="宋体"/>
          <w:sz w:val="24"/>
          <w:szCs w:val="24"/>
        </w:rPr>
      </w:pPr>
      <w:r>
        <w:rPr>
          <w:rFonts w:hint="eastAsia" w:ascii="宋体" w:hAnsi="宋体" w:cs="宋体"/>
          <w:sz w:val="24"/>
          <w:szCs w:val="24"/>
        </w:rPr>
        <w:t>年月日</w:t>
      </w:r>
    </w:p>
    <w:p>
      <w:pPr>
        <w:snapToGrid w:val="0"/>
        <w:spacing w:line="420" w:lineRule="exact"/>
        <w:ind w:firstLine="484" w:firstLineChars="202"/>
        <w:jc w:val="left"/>
        <w:rPr>
          <w:rFonts w:ascii="宋体" w:hAnsi="宋体" w:cs="宋体"/>
          <w:sz w:val="24"/>
          <w:szCs w:val="24"/>
        </w:rPr>
      </w:pPr>
    </w:p>
    <w:p>
      <w:pPr>
        <w:snapToGrid w:val="0"/>
        <w:spacing w:line="420" w:lineRule="exact"/>
        <w:ind w:firstLine="484" w:firstLineChars="202"/>
        <w:jc w:val="left"/>
        <w:rPr>
          <w:rFonts w:ascii="宋体" w:hAnsi="宋体" w:cs="宋体"/>
          <w:sz w:val="24"/>
          <w:szCs w:val="24"/>
        </w:rPr>
      </w:pPr>
    </w:p>
    <w:tbl>
      <w:tblPr>
        <w:tblStyle w:val="53"/>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84" w:firstLineChars="202"/>
              <w:jc w:val="left"/>
              <w:rPr>
                <w:rFonts w:ascii="宋体" w:hAnsi="宋体" w:cs="宋体"/>
                <w:sz w:val="24"/>
                <w:szCs w:val="24"/>
              </w:rPr>
            </w:pPr>
          </w:p>
          <w:p>
            <w:pPr>
              <w:snapToGrid w:val="0"/>
              <w:spacing w:line="420" w:lineRule="exact"/>
              <w:jc w:val="center"/>
              <w:rPr>
                <w:rFonts w:ascii="宋体" w:hAnsi="宋体" w:cs="宋体"/>
                <w:b/>
                <w:bCs/>
                <w:sz w:val="24"/>
                <w:szCs w:val="24"/>
              </w:rPr>
            </w:pPr>
            <w:r>
              <w:rPr>
                <w:rFonts w:hint="eastAsia" w:ascii="宋体" w:hAnsi="宋体" w:cs="宋体"/>
                <w:b/>
                <w:bCs/>
                <w:sz w:val="24"/>
                <w:szCs w:val="24"/>
              </w:rPr>
              <w:t>被委托受权人身份证（正、反面）复印件或扫描件</w:t>
            </w: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tc>
      </w:tr>
    </w:tbl>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left"/>
        <w:rPr>
          <w:rFonts w:ascii="宋体" w:hAnsi="宋体" w:cs="宋体"/>
          <w:sz w:val="24"/>
          <w:szCs w:val="24"/>
        </w:rPr>
      </w:pPr>
      <w:r>
        <w:rPr>
          <w:rFonts w:hint="eastAsia" w:ascii="宋体" w:hAnsi="宋体" w:cs="宋体"/>
          <w:sz w:val="24"/>
          <w:szCs w:val="24"/>
        </w:rPr>
        <w:t>注：如为被委托受权人参加项目竞争性磋商响应，须将身份证原件带至竞争性磋商现场备查。</w:t>
      </w: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napToGrid w:val="0"/>
        <w:spacing w:line="420" w:lineRule="exact"/>
        <w:jc w:val="center"/>
        <w:outlineLvl w:val="4"/>
        <w:rPr>
          <w:rFonts w:ascii="宋体" w:hAnsi="宋体" w:cs="宋体"/>
          <w:b/>
          <w:bCs/>
          <w:sz w:val="28"/>
          <w:szCs w:val="28"/>
        </w:rPr>
      </w:pPr>
      <w:r>
        <w:rPr>
          <w:rFonts w:hint="eastAsia" w:ascii="宋体" w:hAnsi="宋体" w:cs="宋体"/>
          <w:b/>
          <w:bCs/>
          <w:sz w:val="28"/>
          <w:szCs w:val="28"/>
        </w:rPr>
        <w:t>3、供应商符合《政府采购法》第二十二条规定条件的声明函</w:t>
      </w:r>
    </w:p>
    <w:p>
      <w:pPr>
        <w:spacing w:line="460" w:lineRule="exact"/>
        <w:rPr>
          <w:rFonts w:ascii="宋体" w:hAnsi="宋体"/>
          <w:b/>
          <w:bCs/>
          <w:color w:val="FF0000"/>
          <w:sz w:val="44"/>
          <w:szCs w:val="44"/>
        </w:rPr>
      </w:pPr>
    </w:p>
    <w:p>
      <w:pPr>
        <w:spacing w:line="520" w:lineRule="exact"/>
        <w:ind w:firstLine="480" w:firstLineChars="200"/>
        <w:rPr>
          <w:rFonts w:ascii="宋体" w:hAnsi="宋体"/>
          <w:b/>
          <w:bCs/>
          <w:color w:val="000000" w:themeColor="text1"/>
          <w:sz w:val="24"/>
          <w:szCs w:val="24"/>
        </w:rPr>
      </w:pPr>
      <w:r>
        <w:rPr>
          <w:rFonts w:hint="eastAsia" w:ascii="宋体" w:hAnsi="宋体"/>
          <w:bCs/>
          <w:color w:val="000000" w:themeColor="text1"/>
          <w:sz w:val="24"/>
        </w:rPr>
        <w:t>我单位参加</w:t>
      </w:r>
      <w:r>
        <w:rPr>
          <w:rFonts w:hint="eastAsia" w:ascii="宋体" w:hAnsi="宋体"/>
          <w:bCs/>
          <w:color w:val="000000" w:themeColor="text1"/>
          <w:sz w:val="24"/>
          <w:u w:val="single"/>
        </w:rPr>
        <w:t>________________ _</w:t>
      </w:r>
      <w:r>
        <w:rPr>
          <w:rFonts w:hint="eastAsia" w:ascii="宋体" w:hAnsi="宋体"/>
          <w:bCs/>
          <w:color w:val="000000" w:themeColor="text1"/>
          <w:sz w:val="24"/>
        </w:rPr>
        <w:t>（项目名称），</w:t>
      </w:r>
      <w:r>
        <w:rPr>
          <w:rFonts w:hint="eastAsia" w:ascii="宋体" w:hAnsi="宋体"/>
          <w:bCs/>
          <w:color w:val="000000" w:themeColor="text1"/>
          <w:sz w:val="24"/>
          <w:u w:val="single"/>
        </w:rPr>
        <w:t>_______ __________</w:t>
      </w:r>
      <w:r>
        <w:rPr>
          <w:rFonts w:hint="eastAsia" w:ascii="宋体" w:hAnsi="宋体"/>
          <w:bCs/>
          <w:color w:val="000000" w:themeColor="text1"/>
          <w:sz w:val="24"/>
        </w:rPr>
        <w:t>（项目编号）投标活动。针对《中华人民共和国政府采购法》第二十二条规定做出如下声明：</w:t>
      </w:r>
    </w:p>
    <w:p>
      <w:pPr>
        <w:spacing w:line="520" w:lineRule="exact"/>
        <w:ind w:firstLine="482"/>
        <w:rPr>
          <w:rFonts w:ascii="宋体" w:hAnsi="宋体"/>
          <w:color w:val="000000" w:themeColor="text1"/>
          <w:sz w:val="24"/>
        </w:rPr>
      </w:pPr>
      <w:r>
        <w:rPr>
          <w:rFonts w:hint="eastAsia" w:ascii="宋体" w:hAnsi="宋体"/>
          <w:bCs/>
          <w:color w:val="000000" w:themeColor="text1"/>
          <w:sz w:val="24"/>
        </w:rPr>
        <w:t>1.我单位具有独立承担民事责任的能力；</w:t>
      </w:r>
    </w:p>
    <w:p>
      <w:pPr>
        <w:spacing w:line="520" w:lineRule="exact"/>
        <w:ind w:firstLine="482"/>
        <w:rPr>
          <w:rFonts w:ascii="宋体" w:hAnsi="宋体"/>
          <w:color w:val="000000" w:themeColor="text1"/>
          <w:sz w:val="24"/>
        </w:rPr>
      </w:pPr>
      <w:r>
        <w:rPr>
          <w:rFonts w:hint="eastAsia" w:ascii="宋体" w:hAnsi="宋体"/>
          <w:color w:val="000000" w:themeColor="text1"/>
          <w:sz w:val="24"/>
        </w:rPr>
        <w:t>2.我单位具有良好的商业信誉和健全的财务会计制度；</w:t>
      </w:r>
    </w:p>
    <w:p>
      <w:pPr>
        <w:spacing w:line="520" w:lineRule="exact"/>
        <w:ind w:firstLine="482"/>
        <w:rPr>
          <w:rFonts w:ascii="宋体" w:hAnsi="宋体"/>
          <w:color w:val="000000" w:themeColor="text1"/>
          <w:sz w:val="24"/>
        </w:rPr>
      </w:pPr>
      <w:r>
        <w:rPr>
          <w:rFonts w:hint="eastAsia" w:ascii="宋体" w:hAnsi="宋体"/>
          <w:color w:val="000000" w:themeColor="text1"/>
          <w:sz w:val="24"/>
        </w:rPr>
        <w:t>3.我单位具有履行合同所必需的设备和专业技术能力；</w:t>
      </w:r>
    </w:p>
    <w:p>
      <w:pPr>
        <w:spacing w:line="520" w:lineRule="exact"/>
        <w:ind w:firstLine="482"/>
        <w:rPr>
          <w:rFonts w:ascii="宋体" w:hAnsi="宋体"/>
          <w:color w:val="000000" w:themeColor="text1"/>
          <w:sz w:val="24"/>
        </w:rPr>
      </w:pPr>
      <w:r>
        <w:rPr>
          <w:rFonts w:hint="eastAsia" w:ascii="宋体" w:hAnsi="宋体"/>
          <w:color w:val="000000" w:themeColor="text1"/>
          <w:sz w:val="24"/>
        </w:rPr>
        <w:t>4.我单位有依法缴纳税收和社会保障资金的良好记录；</w:t>
      </w:r>
    </w:p>
    <w:p>
      <w:pPr>
        <w:spacing w:line="520" w:lineRule="exact"/>
        <w:ind w:firstLine="482"/>
        <w:rPr>
          <w:rFonts w:ascii="宋体" w:hAnsi="宋体"/>
          <w:color w:val="000000" w:themeColor="text1"/>
          <w:sz w:val="24"/>
        </w:rPr>
      </w:pPr>
      <w:r>
        <w:rPr>
          <w:rFonts w:hint="eastAsia" w:ascii="宋体" w:hAnsi="宋体"/>
          <w:color w:val="000000" w:themeColor="text1"/>
          <w:sz w:val="24"/>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color w:val="000000" w:themeColor="text1"/>
          <w:sz w:val="24"/>
        </w:rPr>
      </w:pPr>
      <w:r>
        <w:rPr>
          <w:rFonts w:hint="eastAsia" w:ascii="宋体" w:hAnsi="宋体"/>
          <w:color w:val="000000" w:themeColor="text1"/>
          <w:sz w:val="24"/>
        </w:rPr>
        <w:t>6.我单位满足法律、行政法规规定的其他条件。</w:t>
      </w:r>
    </w:p>
    <w:p>
      <w:pPr>
        <w:spacing w:line="500" w:lineRule="exact"/>
        <w:ind w:firstLine="482"/>
        <w:rPr>
          <w:rFonts w:ascii="宋体" w:hAnsi="宋体"/>
          <w:color w:val="000000" w:themeColor="text1"/>
          <w:sz w:val="24"/>
        </w:rPr>
      </w:pPr>
    </w:p>
    <w:p>
      <w:pPr>
        <w:spacing w:line="500" w:lineRule="exact"/>
        <w:rPr>
          <w:rFonts w:ascii="宋体" w:hAnsi="宋体"/>
          <w:color w:val="000000" w:themeColor="text1"/>
          <w:sz w:val="24"/>
        </w:rPr>
      </w:pPr>
    </w:p>
    <w:p>
      <w:pPr>
        <w:spacing w:line="500" w:lineRule="exact"/>
        <w:rPr>
          <w:rFonts w:ascii="宋体" w:hAnsi="宋体"/>
          <w:bCs/>
          <w:color w:val="000000" w:themeColor="text1"/>
          <w:sz w:val="24"/>
        </w:rPr>
      </w:pPr>
    </w:p>
    <w:p>
      <w:pPr>
        <w:spacing w:line="500" w:lineRule="exact"/>
        <w:rPr>
          <w:rFonts w:ascii="宋体" w:hAnsi="宋体"/>
          <w:bCs/>
          <w:color w:val="000000" w:themeColor="text1"/>
          <w:sz w:val="24"/>
        </w:rPr>
      </w:pPr>
    </w:p>
    <w:p>
      <w:pPr>
        <w:spacing w:line="500" w:lineRule="exact"/>
        <w:rPr>
          <w:rFonts w:ascii="宋体" w:hAnsi="宋体"/>
          <w:bCs/>
          <w:color w:val="000000" w:themeColor="text1"/>
          <w:sz w:val="24"/>
        </w:rPr>
      </w:pPr>
    </w:p>
    <w:p>
      <w:pPr>
        <w:spacing w:line="460" w:lineRule="exact"/>
        <w:jc w:val="center"/>
        <w:rPr>
          <w:rFonts w:ascii="宋体" w:hAnsi="宋体"/>
          <w:bCs/>
          <w:color w:val="000000" w:themeColor="text1"/>
          <w:sz w:val="24"/>
        </w:rPr>
      </w:pPr>
      <w:r>
        <w:rPr>
          <w:rFonts w:hint="eastAsia" w:ascii="宋体" w:hAnsi="宋体"/>
          <w:bCs/>
          <w:color w:val="000000" w:themeColor="text1"/>
          <w:sz w:val="24"/>
        </w:rPr>
        <w:t xml:space="preserve">                                             承诺人名称（公章）：</w:t>
      </w:r>
    </w:p>
    <w:p>
      <w:pPr>
        <w:spacing w:line="460" w:lineRule="exact"/>
        <w:jc w:val="right"/>
        <w:rPr>
          <w:rFonts w:ascii="宋体" w:hAnsi="宋体"/>
          <w:bCs/>
          <w:color w:val="000000" w:themeColor="text1"/>
          <w:sz w:val="24"/>
        </w:rPr>
      </w:pPr>
    </w:p>
    <w:p>
      <w:pPr>
        <w:spacing w:line="460" w:lineRule="exact"/>
        <w:jc w:val="right"/>
        <w:rPr>
          <w:rFonts w:ascii="宋体" w:hAnsi="宋体"/>
          <w:bCs/>
          <w:color w:val="000000" w:themeColor="text1"/>
          <w:sz w:val="24"/>
        </w:rPr>
      </w:pPr>
      <w:r>
        <w:rPr>
          <w:rFonts w:hint="eastAsia" w:ascii="宋体" w:hAnsi="宋体"/>
          <w:bCs/>
          <w:color w:val="000000" w:themeColor="text1"/>
          <w:sz w:val="24"/>
        </w:rPr>
        <w:t xml:space="preserve">                                 日期：______年   月   日</w:t>
      </w:r>
    </w:p>
    <w:p>
      <w:pPr>
        <w:snapToGrid w:val="0"/>
        <w:spacing w:line="400" w:lineRule="exact"/>
        <w:ind w:firstLine="540" w:firstLineChars="192"/>
        <w:rPr>
          <w:rFonts w:ascii="宋体" w:hAnsi="宋体" w:cs="宋体"/>
          <w:b/>
          <w:color w:val="000000" w:themeColor="text1"/>
          <w:kern w:val="0"/>
          <w:sz w:val="28"/>
          <w:szCs w:val="28"/>
        </w:rPr>
      </w:pPr>
    </w:p>
    <w:p>
      <w:pPr>
        <w:snapToGrid w:val="0"/>
        <w:spacing w:line="400" w:lineRule="exact"/>
        <w:ind w:firstLine="540" w:firstLineChars="192"/>
        <w:rPr>
          <w:rFonts w:ascii="宋体" w:hAnsi="宋体" w:cs="宋体"/>
          <w:b/>
          <w:color w:val="000000" w:themeColor="text1"/>
          <w:kern w:val="0"/>
          <w:sz w:val="28"/>
          <w:szCs w:val="28"/>
          <w:lang w:val="zh-CN"/>
        </w:rPr>
      </w:pPr>
    </w:p>
    <w:p>
      <w:pPr>
        <w:spacing w:line="420" w:lineRule="exact"/>
        <w:jc w:val="left"/>
        <w:rPr>
          <w:rFonts w:ascii="宋体" w:hAnsi="宋体" w:cs="宋体"/>
          <w:color w:val="000000" w:themeColor="text1"/>
          <w:sz w:val="24"/>
          <w:szCs w:val="24"/>
        </w:rPr>
      </w:pPr>
    </w:p>
    <w:p>
      <w:pPr>
        <w:spacing w:line="420" w:lineRule="exact"/>
        <w:jc w:val="left"/>
        <w:rPr>
          <w:rFonts w:ascii="宋体" w:hAnsi="宋体" w:cs="宋体"/>
          <w:color w:val="000000" w:themeColor="text1"/>
          <w:sz w:val="24"/>
          <w:szCs w:val="24"/>
        </w:rPr>
      </w:pPr>
    </w:p>
    <w:p>
      <w:pPr>
        <w:spacing w:line="420" w:lineRule="exact"/>
        <w:jc w:val="left"/>
        <w:rPr>
          <w:rFonts w:ascii="宋体" w:hAnsi="宋体" w:cs="宋体"/>
          <w:color w:val="000000" w:themeColor="text1"/>
          <w:sz w:val="24"/>
          <w:szCs w:val="24"/>
        </w:rPr>
      </w:pPr>
    </w:p>
    <w:p>
      <w:pPr>
        <w:spacing w:line="420" w:lineRule="exact"/>
        <w:jc w:val="left"/>
        <w:rPr>
          <w:rFonts w:ascii="宋体" w:hAnsi="宋体" w:cs="宋体"/>
          <w:color w:val="000000" w:themeColor="text1"/>
          <w:sz w:val="24"/>
          <w:szCs w:val="24"/>
        </w:rPr>
      </w:pPr>
    </w:p>
    <w:p>
      <w:pPr>
        <w:spacing w:line="420" w:lineRule="exact"/>
        <w:jc w:val="left"/>
        <w:rPr>
          <w:rFonts w:ascii="宋体" w:hAnsi="宋体" w:cs="宋体"/>
          <w:color w:val="000000" w:themeColor="text1"/>
          <w:sz w:val="24"/>
          <w:szCs w:val="24"/>
        </w:rPr>
      </w:pPr>
    </w:p>
    <w:p>
      <w:pPr>
        <w:snapToGrid w:val="0"/>
        <w:spacing w:line="420" w:lineRule="exact"/>
        <w:jc w:val="center"/>
        <w:outlineLvl w:val="4"/>
        <w:rPr>
          <w:rFonts w:ascii="宋体" w:hAnsi="宋体" w:cs="宋体"/>
          <w:b/>
          <w:bCs/>
          <w:sz w:val="28"/>
          <w:szCs w:val="28"/>
        </w:rPr>
      </w:pPr>
      <w:r>
        <w:rPr>
          <w:rFonts w:hint="eastAsia" w:ascii="宋体" w:hAnsi="宋体" w:cs="宋体"/>
          <w:b/>
          <w:bCs/>
          <w:sz w:val="28"/>
          <w:szCs w:val="28"/>
        </w:rPr>
        <w:t>4</w:t>
      </w:r>
      <w:r>
        <w:rPr>
          <w:rFonts w:ascii="宋体" w:hAnsi="宋体" w:cs="宋体"/>
          <w:b/>
          <w:bCs/>
          <w:sz w:val="28"/>
          <w:szCs w:val="28"/>
        </w:rPr>
        <w:t>、关于资格的声明函</w:t>
      </w:r>
    </w:p>
    <w:p>
      <w:pPr>
        <w:spacing w:line="360" w:lineRule="auto"/>
        <w:jc w:val="left"/>
        <w:rPr>
          <w:rFonts w:asciiTheme="minorEastAsia" w:hAnsiTheme="minorEastAsia" w:eastAsiaTheme="minorEastAsia" w:cstheme="minorEastAsia"/>
          <w:sz w:val="24"/>
          <w:szCs w:val="24"/>
        </w:rPr>
      </w:pPr>
      <w:r>
        <w:rPr>
          <w:rFonts w:hint="eastAsia" w:ascii="宋体" w:hAnsi="宋体" w:cs="宋体"/>
          <w:sz w:val="24"/>
          <w:szCs w:val="24"/>
        </w:rPr>
        <w:t>江苏大生集团有限公司</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本公司愿就由贵公司组织实施的</w:t>
      </w:r>
      <w:r>
        <w:rPr>
          <w:rFonts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的招标活动进行投标。本公司所提交的投标文件中所有关于投标资格的文件、证明和陈述均是真实的、准确的。若与真实情况不符，本公司愿意承担由此而产生的一切后果。</w:t>
      </w: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法定代表人或委托代理人（签字或盖章）：</w:t>
      </w: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ab/>
      </w:r>
      <w:r>
        <w:rPr>
          <w:rFonts w:asciiTheme="minorEastAsia" w:hAnsiTheme="minorEastAsia" w:eastAsiaTheme="minorEastAsia" w:cstheme="minorEastAsia"/>
          <w:sz w:val="24"/>
          <w:szCs w:val="24"/>
        </w:rPr>
        <w:t xml:space="preserve"> 月</w:t>
      </w:r>
      <w:r>
        <w:rPr>
          <w:rFonts w:hint="eastAsia" w:asciiTheme="minorEastAsia" w:hAnsiTheme="minorEastAsia" w:eastAsiaTheme="minorEastAsia" w:cstheme="minorEastAsia"/>
          <w:sz w:val="24"/>
          <w:szCs w:val="24"/>
        </w:rPr>
        <w:t xml:space="preserve">  日</w:t>
      </w:r>
    </w:p>
    <w:p>
      <w:pPr>
        <w:spacing w:line="360" w:lineRule="auto"/>
        <w:rPr>
          <w:rFonts w:ascii="宋体" w:hAnsi="宋体" w:cs="宋体"/>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pStyle w:val="2"/>
        <w:spacing w:before="312"/>
        <w:ind w:firstLine="480"/>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pacing w:line="420" w:lineRule="exact"/>
        <w:jc w:val="left"/>
        <w:rPr>
          <w:rFonts w:ascii="宋体" w:hAnsi="宋体" w:cs="宋体"/>
          <w:sz w:val="24"/>
          <w:szCs w:val="24"/>
        </w:rPr>
      </w:pPr>
    </w:p>
    <w:p>
      <w:pPr>
        <w:snapToGrid w:val="0"/>
        <w:spacing w:line="520" w:lineRule="exact"/>
        <w:ind w:firstLine="562" w:firstLineChars="200"/>
        <w:jc w:val="center"/>
        <w:rPr>
          <w:rFonts w:ascii="宋体"/>
          <w:b/>
          <w:bCs/>
          <w:color w:val="000000" w:themeColor="text1"/>
          <w:sz w:val="28"/>
          <w:szCs w:val="28"/>
        </w:rPr>
      </w:pPr>
      <w:r>
        <w:rPr>
          <w:rFonts w:hint="eastAsia" w:ascii="宋体" w:hAnsi="宋体" w:cs="宋体"/>
          <w:b/>
          <w:bCs/>
          <w:color w:val="000000" w:themeColor="text1"/>
          <w:sz w:val="28"/>
          <w:szCs w:val="28"/>
        </w:rPr>
        <w:t>5、竞争性磋商响应函（格式不得变动）</w:t>
      </w:r>
    </w:p>
    <w:p>
      <w:pPr>
        <w:snapToGrid w:val="0"/>
        <w:spacing w:line="520" w:lineRule="exact"/>
        <w:rPr>
          <w:rFonts w:ascii="宋体"/>
          <w:color w:val="000000" w:themeColor="text1"/>
          <w:sz w:val="24"/>
          <w:szCs w:val="24"/>
          <w:u w:val="single"/>
        </w:rPr>
      </w:pPr>
      <w:r>
        <w:rPr>
          <w:rFonts w:hint="eastAsia" w:ascii="宋体" w:hAnsi="宋体" w:cs="宋体"/>
          <w:color w:val="000000" w:themeColor="text1"/>
          <w:sz w:val="24"/>
          <w:szCs w:val="24"/>
          <w:u w:val="single"/>
        </w:rPr>
        <w:t>江苏大生集团有限公司：</w:t>
      </w:r>
    </w:p>
    <w:p>
      <w:pPr>
        <w:snapToGrid w:val="0"/>
        <w:spacing w:line="520" w:lineRule="exact"/>
        <w:ind w:firstLine="480" w:firstLineChars="200"/>
        <w:rPr>
          <w:rFonts w:ascii="宋体"/>
          <w:color w:val="000000" w:themeColor="text1"/>
          <w:sz w:val="24"/>
          <w:szCs w:val="24"/>
        </w:rPr>
      </w:pPr>
      <w:r>
        <w:rPr>
          <w:rFonts w:hint="eastAsia" w:ascii="宋体" w:hAnsi="宋体" w:cs="宋体"/>
          <w:color w:val="000000" w:themeColor="text1"/>
          <w:sz w:val="24"/>
          <w:szCs w:val="24"/>
        </w:rPr>
        <w:t>依据贵单位委托代理机构组织的</w:t>
      </w:r>
      <w:r>
        <w:rPr>
          <w:rFonts w:hint="eastAsia" w:ascii="宋体" w:hAnsi="宋体" w:cs="宋体"/>
          <w:color w:val="000000" w:themeColor="text1"/>
          <w:sz w:val="24"/>
          <w:szCs w:val="24"/>
          <w:u w:val="single"/>
        </w:rPr>
        <w:t>（磋商项目名称</w:t>
      </w:r>
      <w:r>
        <w:rPr>
          <w:rFonts w:ascii="宋体" w:hAnsi="宋体" w:cs="宋体"/>
          <w:color w:val="000000" w:themeColor="text1"/>
          <w:sz w:val="24"/>
          <w:szCs w:val="24"/>
          <w:u w:val="single"/>
        </w:rPr>
        <w:t>)</w:t>
      </w:r>
      <w:r>
        <w:rPr>
          <w:rFonts w:hint="eastAsia" w:ascii="宋体" w:hAnsi="宋体" w:cs="宋体"/>
          <w:color w:val="000000" w:themeColor="text1"/>
          <w:sz w:val="24"/>
          <w:szCs w:val="24"/>
        </w:rPr>
        <w:t>项目竞争性磋商的邀请，我方授权</w:t>
      </w:r>
      <w:r>
        <w:rPr>
          <w:rFonts w:hint="eastAsia" w:ascii="宋体" w:hAnsi="宋体" w:cs="宋体"/>
          <w:color w:val="000000" w:themeColor="text1"/>
          <w:sz w:val="24"/>
          <w:szCs w:val="24"/>
          <w:u w:val="single"/>
        </w:rPr>
        <w:t>（姓名）（职务）</w:t>
      </w:r>
      <w:r>
        <w:rPr>
          <w:rFonts w:hint="eastAsia" w:ascii="宋体" w:hAnsi="宋体" w:cs="宋体"/>
          <w:color w:val="000000" w:themeColor="text1"/>
          <w:sz w:val="24"/>
          <w:szCs w:val="24"/>
        </w:rPr>
        <w:t>为全权代表参加该项目的磋商工作，全权处理本次竞争性磋商的有关事宜。同时，我公司声明如下：</w:t>
      </w:r>
    </w:p>
    <w:p>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2</w:t>
      </w:r>
      <w:r>
        <w:rPr>
          <w:rFonts w:hint="eastAsia" w:ascii="宋体" w:hAnsi="宋体" w:cs="宋体"/>
          <w:color w:val="000000" w:themeColor="text1"/>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3</w:t>
      </w:r>
      <w:r>
        <w:rPr>
          <w:rFonts w:hint="eastAsia" w:ascii="宋体" w:hAnsi="宋体" w:cs="宋体"/>
          <w:color w:val="000000" w:themeColor="text1"/>
          <w:sz w:val="24"/>
          <w:szCs w:val="24"/>
        </w:rPr>
        <w:t>、我公司已毫无保留地向贵方提供一切所需的证明材料。</w:t>
      </w:r>
    </w:p>
    <w:p>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4</w:t>
      </w:r>
      <w:r>
        <w:rPr>
          <w:rFonts w:hint="eastAsia" w:ascii="宋体" w:hAnsi="宋体" w:cs="宋体"/>
          <w:color w:val="000000" w:themeColor="text1"/>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5</w:t>
      </w:r>
      <w:r>
        <w:rPr>
          <w:rFonts w:hint="eastAsia" w:ascii="宋体" w:hAnsi="宋体" w:cs="宋体"/>
          <w:color w:val="000000" w:themeColor="text1"/>
          <w:sz w:val="24"/>
          <w:szCs w:val="24"/>
        </w:rPr>
        <w:t>、一旦成交，我方承诺无正当理由拒绝签订合同的，贵方有权取消我公司的成交资格。</w:t>
      </w:r>
    </w:p>
    <w:p>
      <w:pPr>
        <w:snapToGrid w:val="0"/>
        <w:spacing w:line="520" w:lineRule="exact"/>
        <w:ind w:firstLine="480" w:firstLineChars="200"/>
        <w:rPr>
          <w:rFonts w:ascii="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color w:val="000000" w:themeColor="text1"/>
          <w:sz w:val="24"/>
          <w:szCs w:val="24"/>
        </w:rPr>
      </w:pPr>
    </w:p>
    <w:p>
      <w:pPr>
        <w:pStyle w:val="2"/>
        <w:ind w:firstLine="480"/>
        <w:rPr>
          <w:color w:val="000000" w:themeColor="text1"/>
        </w:rPr>
      </w:pPr>
    </w:p>
    <w:p>
      <w:pPr>
        <w:snapToGrid w:val="0"/>
        <w:spacing w:line="520" w:lineRule="exact"/>
        <w:jc w:val="right"/>
        <w:rPr>
          <w:rFonts w:ascii="宋体"/>
          <w:color w:val="000000" w:themeColor="text1"/>
          <w:sz w:val="24"/>
          <w:szCs w:val="24"/>
        </w:rPr>
      </w:pPr>
      <w:r>
        <w:rPr>
          <w:rFonts w:hint="eastAsia" w:ascii="宋体" w:hAnsi="宋体" w:cs="宋体"/>
          <w:color w:val="000000" w:themeColor="text1"/>
          <w:sz w:val="24"/>
          <w:szCs w:val="24"/>
        </w:rPr>
        <w:t>竞争性磋商响应单位：（加盖公章）</w:t>
      </w:r>
    </w:p>
    <w:p>
      <w:pPr>
        <w:snapToGrid w:val="0"/>
        <w:spacing w:line="520" w:lineRule="exact"/>
        <w:ind w:firstLine="2400" w:firstLineChars="1000"/>
        <w:jc w:val="right"/>
        <w:rPr>
          <w:rFonts w:ascii="宋体"/>
          <w:color w:val="000000" w:themeColor="text1"/>
          <w:sz w:val="24"/>
          <w:szCs w:val="24"/>
        </w:rPr>
      </w:pPr>
      <w:r>
        <w:rPr>
          <w:rFonts w:hint="eastAsia" w:ascii="宋体" w:hAnsi="宋体" w:cs="宋体"/>
          <w:color w:val="000000" w:themeColor="text1"/>
          <w:sz w:val="24"/>
          <w:szCs w:val="24"/>
        </w:rPr>
        <w:t>法定代表人或被授权人：（签字或盖章）</w:t>
      </w:r>
    </w:p>
    <w:p>
      <w:pPr>
        <w:snapToGrid w:val="0"/>
        <w:spacing w:line="520" w:lineRule="exact"/>
        <w:jc w:val="right"/>
        <w:outlineLvl w:val="4"/>
        <w:rPr>
          <w:rFonts w:ascii="宋体" w:hAnsi="宋体" w:cs="宋体"/>
          <w:color w:val="000000" w:themeColor="text1"/>
          <w:sz w:val="24"/>
          <w:szCs w:val="24"/>
        </w:rPr>
      </w:pPr>
      <w:r>
        <w:rPr>
          <w:rFonts w:hint="eastAsia" w:ascii="宋体" w:hAnsi="宋体" w:cs="宋体"/>
          <w:color w:val="000000" w:themeColor="text1"/>
          <w:sz w:val="24"/>
          <w:szCs w:val="24"/>
        </w:rPr>
        <w:t xml:space="preserve"> 年    月    日</w:t>
      </w:r>
    </w:p>
    <w:p>
      <w:pPr>
        <w:pStyle w:val="2"/>
        <w:ind w:firstLine="480"/>
        <w:rPr>
          <w:color w:val="000000" w:themeColor="text1"/>
        </w:rPr>
      </w:pPr>
    </w:p>
    <w:p>
      <w:pPr>
        <w:pStyle w:val="2"/>
        <w:ind w:firstLine="480"/>
        <w:rPr>
          <w:color w:val="000000" w:themeColor="text1"/>
        </w:rPr>
      </w:pPr>
    </w:p>
    <w:p>
      <w:pPr>
        <w:pStyle w:val="2"/>
        <w:ind w:firstLine="480"/>
        <w:rPr>
          <w:color w:val="000000" w:themeColor="text1"/>
        </w:rPr>
      </w:pPr>
    </w:p>
    <w:p>
      <w:pPr>
        <w:pStyle w:val="206"/>
        <w:spacing w:line="560" w:lineRule="exact"/>
        <w:jc w:val="center"/>
        <w:rPr>
          <w:rFonts w:asciiTheme="minorEastAsia" w:hAnsiTheme="minorEastAsia" w:eastAsiaTheme="minorEastAsia"/>
          <w:b/>
          <w:bCs/>
          <w:sz w:val="24"/>
        </w:rPr>
      </w:pPr>
    </w:p>
    <w:p>
      <w:pPr>
        <w:pStyle w:val="206"/>
        <w:spacing w:line="560" w:lineRule="exact"/>
        <w:jc w:val="center"/>
        <w:rPr>
          <w:rFonts w:asciiTheme="minorEastAsia" w:hAnsiTheme="minorEastAsia" w:eastAsiaTheme="minorEastAsia"/>
          <w:b/>
          <w:bCs/>
          <w:sz w:val="24"/>
        </w:rPr>
      </w:pPr>
    </w:p>
    <w:p>
      <w:pPr>
        <w:snapToGrid w:val="0"/>
        <w:spacing w:line="520" w:lineRule="exact"/>
        <w:jc w:val="center"/>
        <w:outlineLvl w:val="3"/>
        <w:rPr>
          <w:rFonts w:ascii="宋体" w:hAnsi="宋体" w:cs="宋体"/>
          <w:b/>
          <w:color w:val="000000" w:themeColor="text1"/>
          <w:sz w:val="28"/>
          <w:szCs w:val="28"/>
        </w:rPr>
      </w:pPr>
      <w:r>
        <w:rPr>
          <w:rFonts w:hint="eastAsia" w:ascii="宋体" w:hAnsi="宋体" w:cs="宋体"/>
          <w:b/>
          <w:bCs/>
          <w:color w:val="000000" w:themeColor="text1"/>
          <w:sz w:val="28"/>
          <w:szCs w:val="28"/>
        </w:rPr>
        <w:t>6、</w:t>
      </w:r>
      <w:r>
        <w:rPr>
          <w:rFonts w:hint="eastAsia" w:ascii="宋体" w:hAnsi="宋体" w:cs="宋体"/>
          <w:b/>
          <w:color w:val="000000" w:themeColor="text1"/>
          <w:sz w:val="28"/>
          <w:szCs w:val="28"/>
        </w:rPr>
        <w:t>磋商响应报价表（首次）</w:t>
      </w:r>
    </w:p>
    <w:p>
      <w:pPr>
        <w:spacing w:line="480" w:lineRule="exact"/>
        <w:rPr>
          <w:rFonts w:hAnsi="宋体" w:cs="宋体"/>
          <w:b/>
          <w:bCs/>
          <w:color w:val="000000" w:themeColor="text1"/>
          <w:sz w:val="28"/>
          <w:szCs w:val="28"/>
        </w:rPr>
      </w:pPr>
    </w:p>
    <w:tbl>
      <w:tblPr>
        <w:tblStyle w:val="5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pPr>
              <w:spacing w:line="480" w:lineRule="exact"/>
              <w:jc w:val="center"/>
              <w:rPr>
                <w:rFonts w:hAnsi="宋体" w:cs="宋体"/>
                <w:color w:val="000000" w:themeColor="text1"/>
                <w:sz w:val="24"/>
                <w:szCs w:val="20"/>
              </w:rPr>
            </w:pPr>
            <w:r>
              <w:rPr>
                <w:rFonts w:hint="eastAsia" w:hAnsi="宋体" w:cs="宋体"/>
                <w:color w:val="000000" w:themeColor="text1"/>
                <w:sz w:val="24"/>
                <w:szCs w:val="20"/>
              </w:rPr>
              <w:t>项目名称</w:t>
            </w:r>
          </w:p>
        </w:tc>
        <w:tc>
          <w:tcPr>
            <w:tcW w:w="7777" w:type="dxa"/>
            <w:vAlign w:val="center"/>
          </w:tcPr>
          <w:p>
            <w:pPr>
              <w:spacing w:line="480" w:lineRule="exact"/>
              <w:jc w:val="center"/>
              <w:rPr>
                <w:rFonts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70" w:type="dxa"/>
            <w:vAlign w:val="center"/>
          </w:tcPr>
          <w:p>
            <w:pPr>
              <w:spacing w:line="480" w:lineRule="exact"/>
              <w:jc w:val="center"/>
              <w:rPr>
                <w:rFonts w:hAnsi="宋体" w:cs="宋体"/>
                <w:color w:val="000000" w:themeColor="text1"/>
                <w:sz w:val="24"/>
                <w:szCs w:val="20"/>
              </w:rPr>
            </w:pPr>
            <w:r>
              <w:rPr>
                <w:rFonts w:hint="eastAsia" w:hAnsi="宋体" w:cs="宋体"/>
                <w:color w:val="000000" w:themeColor="text1"/>
                <w:sz w:val="24"/>
                <w:szCs w:val="20"/>
              </w:rPr>
              <w:t>磋商报价（首次）</w:t>
            </w:r>
          </w:p>
        </w:tc>
        <w:tc>
          <w:tcPr>
            <w:tcW w:w="7777" w:type="dxa"/>
            <w:vAlign w:val="center"/>
          </w:tcPr>
          <w:p>
            <w:pPr>
              <w:spacing w:line="480" w:lineRule="exact"/>
              <w:rPr>
                <w:rFonts w:hAnsi="宋体" w:cs="宋体"/>
                <w:color w:val="000000" w:themeColor="text1"/>
                <w:sz w:val="24"/>
                <w:szCs w:val="20"/>
                <w:u w:val="single"/>
              </w:rPr>
            </w:pPr>
            <w:r>
              <w:rPr>
                <w:rFonts w:hAnsi="宋体" w:cs="宋体"/>
                <w:color w:val="000000" w:themeColor="text1"/>
                <w:sz w:val="24"/>
                <w:szCs w:val="20"/>
              </w:rPr>
              <w:t>¥</w:t>
            </w:r>
            <w:r>
              <w:rPr>
                <w:rFonts w:hint="eastAsia" w:hAnsi="宋体" w:cs="宋体"/>
                <w:color w:val="000000" w:themeColor="text1"/>
                <w:sz w:val="24"/>
                <w:szCs w:val="20"/>
              </w:rPr>
              <w:t>元，人民币大写：。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pPr>
              <w:spacing w:line="480" w:lineRule="exact"/>
              <w:jc w:val="center"/>
              <w:rPr>
                <w:rFonts w:hAnsi="宋体" w:cs="宋体"/>
                <w:color w:val="000000" w:themeColor="text1"/>
                <w:sz w:val="24"/>
                <w:szCs w:val="20"/>
              </w:rPr>
            </w:pPr>
            <w:r>
              <w:rPr>
                <w:rFonts w:hint="eastAsia" w:hAnsi="宋体" w:cs="宋体"/>
                <w:bCs/>
                <w:color w:val="000000" w:themeColor="text1"/>
                <w:sz w:val="24"/>
                <w:szCs w:val="20"/>
              </w:rPr>
              <w:t>服务期</w:t>
            </w:r>
          </w:p>
        </w:tc>
        <w:tc>
          <w:tcPr>
            <w:tcW w:w="7777" w:type="dxa"/>
            <w:vAlign w:val="center"/>
          </w:tcPr>
          <w:p>
            <w:pPr>
              <w:spacing w:line="480" w:lineRule="exact"/>
              <w:rPr>
                <w:rFonts w:ascii="宋体" w:hAnsi="宋体" w:cs="宋体"/>
                <w:color w:val="000000" w:themeColor="text1"/>
                <w:kern w:val="0"/>
                <w:sz w:val="24"/>
                <w:szCs w:val="20"/>
                <w:lang w:val="zh-CN"/>
              </w:rPr>
            </w:pPr>
          </w:p>
        </w:tc>
      </w:tr>
    </w:tbl>
    <w:p>
      <w:pPr>
        <w:spacing w:line="480" w:lineRule="exact"/>
        <w:ind w:firstLine="4800" w:firstLineChars="2000"/>
        <w:rPr>
          <w:rFonts w:hAnsi="宋体" w:cs="宋体"/>
          <w:color w:val="000000" w:themeColor="text1"/>
          <w:sz w:val="24"/>
          <w:szCs w:val="20"/>
        </w:rPr>
      </w:pPr>
    </w:p>
    <w:p>
      <w:pPr>
        <w:tabs>
          <w:tab w:val="left" w:pos="5665"/>
          <w:tab w:val="right" w:pos="8360"/>
        </w:tabs>
        <w:spacing w:line="360" w:lineRule="auto"/>
        <w:ind w:right="42"/>
        <w:jc w:val="left"/>
        <w:rPr>
          <w:rFonts w:ascii="宋体" w:hAnsi="宋体" w:cs="宋体"/>
          <w:color w:val="000000" w:themeColor="text1"/>
          <w:sz w:val="24"/>
          <w:szCs w:val="24"/>
          <w:u w:val="single"/>
        </w:rPr>
      </w:pPr>
      <w:r>
        <w:rPr>
          <w:rFonts w:hint="eastAsia" w:ascii="宋体" w:hAnsi="宋体" w:cs="宋体"/>
          <w:color w:val="000000" w:themeColor="text1"/>
          <w:sz w:val="24"/>
          <w:szCs w:val="24"/>
        </w:rPr>
        <w:t>竞争性磋商响应单位（公章)：</w:t>
      </w:r>
    </w:p>
    <w:p>
      <w:pPr>
        <w:spacing w:line="360" w:lineRule="auto"/>
        <w:rPr>
          <w:rFonts w:hAnsi="宋体" w:cs="宋体"/>
          <w:color w:val="000000" w:themeColor="text1"/>
          <w:sz w:val="24"/>
          <w:szCs w:val="20"/>
          <w:u w:val="single"/>
        </w:rPr>
      </w:pPr>
      <w:r>
        <w:rPr>
          <w:rFonts w:hint="eastAsia" w:hAnsi="宋体" w:cs="宋体"/>
          <w:color w:val="000000" w:themeColor="text1"/>
          <w:sz w:val="24"/>
          <w:szCs w:val="20"/>
        </w:rPr>
        <w:t>法定代表人或</w:t>
      </w:r>
      <w:r>
        <w:rPr>
          <w:rFonts w:hint="eastAsia" w:hAnsi="宋体" w:cs="仿宋_GB2312"/>
          <w:color w:val="000000" w:themeColor="text1"/>
          <w:sz w:val="24"/>
          <w:szCs w:val="20"/>
        </w:rPr>
        <w:t>被授权人（签字或盖章）</w:t>
      </w:r>
      <w:r>
        <w:rPr>
          <w:rFonts w:hint="eastAsia" w:hAnsi="宋体" w:cs="宋体"/>
          <w:color w:val="000000" w:themeColor="text1"/>
          <w:sz w:val="24"/>
          <w:szCs w:val="20"/>
        </w:rPr>
        <w:t>：</w:t>
      </w:r>
    </w:p>
    <w:p>
      <w:pPr>
        <w:spacing w:line="360" w:lineRule="auto"/>
        <w:rPr>
          <w:rFonts w:hAnsi="宋体" w:cs="宋体"/>
          <w:color w:val="000000" w:themeColor="text1"/>
          <w:sz w:val="24"/>
          <w:szCs w:val="20"/>
        </w:rPr>
      </w:pPr>
      <w:r>
        <w:rPr>
          <w:rFonts w:hint="eastAsia" w:hAnsi="宋体" w:cs="宋体"/>
          <w:color w:val="000000" w:themeColor="text1"/>
          <w:sz w:val="24"/>
          <w:szCs w:val="20"/>
        </w:rPr>
        <w:t>日期：年月日</w:t>
      </w:r>
    </w:p>
    <w:p>
      <w:pPr>
        <w:spacing w:line="480" w:lineRule="exact"/>
        <w:rPr>
          <w:rFonts w:hAnsi="宋体" w:cs="宋体"/>
          <w:color w:val="000000" w:themeColor="text1"/>
          <w:sz w:val="24"/>
          <w:szCs w:val="20"/>
        </w:rPr>
      </w:pPr>
    </w:p>
    <w:p>
      <w:pPr>
        <w:snapToGrid w:val="0"/>
        <w:spacing w:line="480" w:lineRule="exact"/>
        <w:rPr>
          <w:rFonts w:ascii="宋体" w:hAnsi="宋体"/>
          <w:b/>
          <w:color w:val="000000" w:themeColor="text1"/>
          <w:sz w:val="24"/>
          <w:szCs w:val="20"/>
        </w:rPr>
      </w:pPr>
      <w:r>
        <w:rPr>
          <w:rFonts w:hint="eastAsia" w:ascii="宋体" w:hAnsi="宋体"/>
          <w:b/>
          <w:color w:val="000000" w:themeColor="text1"/>
          <w:sz w:val="24"/>
          <w:szCs w:val="20"/>
        </w:rPr>
        <w:t>注：1、</w:t>
      </w:r>
      <w:r>
        <w:rPr>
          <w:rFonts w:ascii="宋体" w:hAnsi="宋体"/>
          <w:b/>
          <w:color w:val="000000" w:themeColor="text1"/>
          <w:sz w:val="24"/>
          <w:szCs w:val="20"/>
        </w:rPr>
        <w:t>本表</w:t>
      </w:r>
      <w:r>
        <w:rPr>
          <w:rFonts w:hint="eastAsia" w:ascii="宋体" w:hAnsi="宋体"/>
          <w:b/>
          <w:color w:val="000000" w:themeColor="text1"/>
          <w:sz w:val="24"/>
          <w:szCs w:val="20"/>
        </w:rPr>
        <w:t>为格式表</w:t>
      </w:r>
      <w:r>
        <w:rPr>
          <w:rFonts w:ascii="宋体" w:hAnsi="宋体"/>
          <w:b/>
          <w:color w:val="000000" w:themeColor="text1"/>
          <w:sz w:val="24"/>
          <w:szCs w:val="20"/>
        </w:rPr>
        <w:t>，</w:t>
      </w:r>
      <w:r>
        <w:rPr>
          <w:rFonts w:hint="eastAsia" w:ascii="宋体" w:hAnsi="宋体"/>
          <w:b/>
          <w:color w:val="000000" w:themeColor="text1"/>
          <w:sz w:val="24"/>
          <w:szCs w:val="20"/>
        </w:rPr>
        <w:t>不得自行改动，必须提供</w:t>
      </w:r>
      <w:r>
        <w:rPr>
          <w:rFonts w:ascii="宋体" w:hAnsi="宋体"/>
          <w:b/>
          <w:color w:val="000000" w:themeColor="text1"/>
          <w:sz w:val="24"/>
          <w:szCs w:val="20"/>
        </w:rPr>
        <w:t>。</w:t>
      </w:r>
    </w:p>
    <w:p>
      <w:pPr>
        <w:snapToGrid w:val="0"/>
        <w:spacing w:line="520" w:lineRule="exact"/>
        <w:ind w:firstLine="482" w:firstLineChars="200"/>
        <w:rPr>
          <w:rFonts w:ascii="宋体" w:hAnsi="宋体"/>
          <w:color w:val="000000" w:themeColor="text1"/>
          <w:sz w:val="24"/>
          <w:szCs w:val="24"/>
        </w:rPr>
      </w:pPr>
      <w:r>
        <w:rPr>
          <w:rFonts w:hint="eastAsia" w:ascii="宋体" w:hAnsi="宋体"/>
          <w:b/>
          <w:color w:val="000000" w:themeColor="text1"/>
          <w:sz w:val="24"/>
          <w:szCs w:val="20"/>
        </w:rPr>
        <w:t>2、磋商总报价（以人民币计价）应包括为完成本服务项目发生的所有含税费用、支付给员工的工资和国家强制缴纳的各种社会保障资金，以及供应商认为需要的其他费用等。</w:t>
      </w:r>
    </w:p>
    <w:p>
      <w:pPr>
        <w:snapToGrid w:val="0"/>
        <w:spacing w:line="520" w:lineRule="exact"/>
        <w:ind w:firstLine="482" w:firstLineChars="200"/>
        <w:rPr>
          <w:rFonts w:ascii="宋体" w:hAnsi="宋体" w:cs="宋体"/>
          <w:color w:val="000000" w:themeColor="text1"/>
          <w:sz w:val="24"/>
          <w:szCs w:val="20"/>
        </w:rPr>
      </w:pPr>
      <w:r>
        <w:rPr>
          <w:rFonts w:hint="eastAsia" w:ascii="宋体" w:hAnsi="宋体"/>
          <w:b/>
          <w:color w:val="000000" w:themeColor="text1"/>
          <w:sz w:val="24"/>
          <w:szCs w:val="20"/>
        </w:rPr>
        <w:t>3、第二及以后的报价将在开标现场填写，响应文件密封提交时只需填写磋商响应报价总表（首次）的报价。</w:t>
      </w:r>
      <w:r>
        <w:rPr>
          <w:rFonts w:hint="eastAsia" w:ascii="宋体" w:hAnsi="宋体"/>
          <w:b/>
          <w:color w:val="000000" w:themeColor="text1"/>
          <w:sz w:val="24"/>
        </w:rPr>
        <w:t>且第二次及之后报价时，磋商响应报价明细表按同比例下浮。</w:t>
      </w:r>
    </w:p>
    <w:p>
      <w:pPr>
        <w:snapToGrid w:val="0"/>
        <w:spacing w:line="520" w:lineRule="exact"/>
        <w:jc w:val="center"/>
        <w:outlineLvl w:val="4"/>
        <w:rPr>
          <w:rFonts w:ascii="宋体"/>
          <w:color w:val="000000" w:themeColor="text1"/>
          <w:sz w:val="24"/>
          <w:szCs w:val="24"/>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
        <w:ind w:firstLine="482"/>
        <w:rPr>
          <w:b/>
          <w:bCs/>
          <w:color w:val="000000" w:themeColor="text1"/>
        </w:rPr>
      </w:pPr>
    </w:p>
    <w:p>
      <w:pPr>
        <w:pStyle w:val="206"/>
        <w:spacing w:line="560" w:lineRule="exact"/>
        <w:jc w:val="center"/>
        <w:rPr>
          <w:rFonts w:asciiTheme="minorEastAsia" w:hAnsiTheme="minorEastAsia" w:eastAsiaTheme="minorEastAsia"/>
          <w:b/>
          <w:bCs/>
          <w:sz w:val="24"/>
        </w:rPr>
      </w:pPr>
    </w:p>
    <w:p>
      <w:pPr>
        <w:spacing w:after="120"/>
        <w:rPr>
          <w:color w:val="000000" w:themeColor="text1"/>
          <w:kern w:val="0"/>
          <w:sz w:val="20"/>
          <w:szCs w:val="20"/>
        </w:rPr>
      </w:pPr>
    </w:p>
    <w:sectPr>
      <w:pgSz w:w="11906" w:h="16838"/>
      <w:pgMar w:top="1270" w:right="1417" w:bottom="127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rPr>
        <w:lang w:val="zh-CN"/>
      </w:rPr>
      <w:t>2</w:t>
    </w:r>
    <w:r>
      <w:rPr>
        <w:lang w:val="zh-CN"/>
      </w:rP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a:effectLst/>
                    </wps:spPr>
                    <wps:txbx>
                      <w:txbxContent>
                        <w:p>
                          <w:pPr>
                            <w:pStyle w:val="33"/>
                            <w:jc w:val="center"/>
                            <w:rPr>
                              <w:rFonts w:cs="Times New Roman"/>
                            </w:rPr>
                          </w:pPr>
                          <w:r>
                            <w:rPr>
                              <w:b/>
                              <w:bCs/>
                            </w:rPr>
                            <w:fldChar w:fldCharType="begin"/>
                          </w:r>
                          <w:r>
                            <w:rPr>
                              <w:b/>
                              <w:bCs/>
                            </w:rPr>
                            <w:instrText xml:space="preserve">PAGE</w:instrText>
                          </w:r>
                          <w:r>
                            <w:rPr>
                              <w:b/>
                              <w:bCs/>
                            </w:rPr>
                            <w:fldChar w:fldCharType="separate"/>
                          </w:r>
                          <w:r>
                            <w:rPr>
                              <w:b/>
                              <w:bCs/>
                            </w:rPr>
                            <w:t>10</w:t>
                          </w:r>
                          <w:r>
                            <w:rPr>
                              <w:b/>
                              <w:bCs/>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&#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3RZsT0AAAAAMBAAAPAAAAAAAAAAEAIAAAACIAAABk&#10;cnMvZG93bnJldi54bWxQSwECFAAUAAAACACHTuJADHFzG9UBAACoAwAADgAAAAAAAAABACAAAAAf&#10;AQAAZHJzL2Uyb0RvYy54bWxQSwUGAAAAAAYABgBZAQAAZgUAAAAA&#10;">
              <v:fill on="f" focussize="0,0"/>
              <v:stroke on="f"/>
              <v:imagedata o:title=""/>
              <o:lock v:ext="edit" aspectratio="f"/>
              <v:textbox inset="0mm,0mm,0mm,0mm" style="mso-fit-shape-to-text:t;">
                <w:txbxContent>
                  <w:p>
                    <w:pPr>
                      <w:pStyle w:val="33"/>
                      <w:jc w:val="center"/>
                      <w:rPr>
                        <w:rFonts w:cs="Times New Roman"/>
                      </w:rPr>
                    </w:pPr>
                    <w:r>
                      <w:rPr>
                        <w:b/>
                        <w:bCs/>
                      </w:rPr>
                      <w:fldChar w:fldCharType="begin"/>
                    </w:r>
                    <w:r>
                      <w:rPr>
                        <w:b/>
                        <w:bCs/>
                      </w:rPr>
                      <w:instrText xml:space="preserve">PAGE</w:instrText>
                    </w:r>
                    <w:r>
                      <w:rPr>
                        <w:b/>
                        <w:bCs/>
                      </w:rPr>
                      <w:fldChar w:fldCharType="separate"/>
                    </w:r>
                    <w:r>
                      <w:rPr>
                        <w:b/>
                        <w:bCs/>
                      </w:rPr>
                      <w:t>10</w:t>
                    </w:r>
                    <w:r>
                      <w:rPr>
                        <w:b/>
                        <w:bCs/>
                      </w:rPr>
                      <w:fldChar w:fldCharType="end"/>
                    </w:r>
                  </w:p>
                </w:txbxContent>
              </v:textbox>
            </v:shape>
          </w:pict>
        </mc:Fallback>
      </mc:AlternateContent>
    </w:r>
  </w:p>
  <w:p>
    <w:pPr>
      <w:pStyle w:val="3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pacing w:line="560" w:lineRule="exact"/>
      <w:rPr>
        <w:rFonts w:ascii="宋体" w:hAnsi="宋体"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4FAC4"/>
    <w:multiLevelType w:val="singleLevel"/>
    <w:tmpl w:val="A7F4FAC4"/>
    <w:lvl w:ilvl="0" w:tentative="0">
      <w:start w:val="1"/>
      <w:numFmt w:val="chineseCounting"/>
      <w:suff w:val="nothing"/>
      <w:lvlText w:val="（%1）"/>
      <w:lvlJc w:val="left"/>
      <w:rPr>
        <w:rFonts w:hint="eastAsia"/>
      </w:rPr>
    </w:lvl>
  </w:abstractNum>
  <w:abstractNum w:abstractNumId="1">
    <w:nsid w:val="0000003D"/>
    <w:multiLevelType w:val="multilevel"/>
    <w:tmpl w:val="0000003D"/>
    <w:lvl w:ilvl="0" w:tentative="0">
      <w:start w:val="1"/>
      <w:numFmt w:val="chineseCountingThousand"/>
      <w:pStyle w:val="5"/>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18CB67E0"/>
    <w:multiLevelType w:val="multilevel"/>
    <w:tmpl w:val="18CB67E0"/>
    <w:lvl w:ilvl="0" w:tentative="0">
      <w:start w:val="1"/>
      <w:numFmt w:val="decimal"/>
      <w:lvlText w:val="1.%1"/>
      <w:lvlJc w:val="left"/>
      <w:pPr>
        <w:tabs>
          <w:tab w:val="left" w:pos="425"/>
        </w:tabs>
        <w:ind w:left="425" w:hanging="425"/>
      </w:pPr>
      <w:rPr>
        <w:rFonts w:hint="eastAsia"/>
      </w:rPr>
    </w:lvl>
    <w:lvl w:ilvl="1" w:tentative="0">
      <w:start w:val="1"/>
      <w:numFmt w:val="decimal"/>
      <w:lvlText w:val="2.%2."/>
      <w:lvlJc w:val="left"/>
      <w:pPr>
        <w:tabs>
          <w:tab w:val="left" w:pos="845"/>
        </w:tabs>
        <w:ind w:left="845" w:hanging="420"/>
      </w:pPr>
      <w:rPr>
        <w:rFonts w:hint="eastAsia" w:ascii="宋体" w:hAnsi="宋体" w:eastAsia="宋体"/>
      </w:rPr>
    </w:lvl>
    <w:lvl w:ilvl="2" w:tentative="0">
      <w:start w:val="1"/>
      <w:numFmt w:val="decimal"/>
      <w:lvlText w:val="附件8－%3."/>
      <w:lvlJc w:val="left"/>
      <w:pPr>
        <w:tabs>
          <w:tab w:val="left" w:pos="2291"/>
        </w:tabs>
        <w:ind w:left="1418" w:hanging="567"/>
      </w:pPr>
      <w:rPr>
        <w:rFonts w:hint="eastAsia"/>
      </w:rPr>
    </w:lvl>
    <w:lvl w:ilvl="3" w:tentative="0">
      <w:start w:val="1"/>
      <w:numFmt w:val="decimal"/>
      <w:lvlText w:val="%1.%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A4D27E2"/>
    <w:multiLevelType w:val="multilevel"/>
    <w:tmpl w:val="1A4D27E2"/>
    <w:lvl w:ilvl="0" w:tentative="0">
      <w:start w:val="1"/>
      <w:numFmt w:val="decimal"/>
      <w:lvlText w:val="%1."/>
      <w:lvlJc w:val="left"/>
      <w:pPr>
        <w:tabs>
          <w:tab w:val="left" w:pos="891"/>
        </w:tabs>
        <w:ind w:left="891" w:hanging="420"/>
      </w:pPr>
      <w:rPr>
        <w:rFonts w:hint="eastAsia"/>
        <w:b/>
        <w:i w:val="0"/>
      </w:rPr>
    </w:lvl>
    <w:lvl w:ilvl="1" w:tentative="0">
      <w:start w:val="1"/>
      <w:numFmt w:val="decimal"/>
      <w:lvlText w:val="%2．"/>
      <w:lvlJc w:val="left"/>
      <w:pPr>
        <w:tabs>
          <w:tab w:val="left" w:pos="1251"/>
        </w:tabs>
        <w:ind w:left="1251" w:hanging="360"/>
      </w:pPr>
      <w:rPr>
        <w:rFonts w:hint="default"/>
      </w:rPr>
    </w:lvl>
    <w:lvl w:ilvl="2" w:tentative="0">
      <w:start w:val="2"/>
      <w:numFmt w:val="decimalEnclosedParen"/>
      <w:lvlText w:val="%3"/>
      <w:lvlJc w:val="left"/>
      <w:pPr>
        <w:ind w:left="1671" w:hanging="360"/>
      </w:pPr>
      <w:rPr>
        <w:rFonts w:hint="default"/>
      </w:rPr>
    </w:lvl>
    <w:lvl w:ilvl="3" w:tentative="0">
      <w:start w:val="1"/>
      <w:numFmt w:val="decimal"/>
      <w:lvlText w:val="%4."/>
      <w:lvlJc w:val="left"/>
      <w:pPr>
        <w:tabs>
          <w:tab w:val="left" w:pos="2151"/>
        </w:tabs>
        <w:ind w:left="2151" w:hanging="420"/>
      </w:pPr>
    </w:lvl>
    <w:lvl w:ilvl="4" w:tentative="0">
      <w:start w:val="1"/>
      <w:numFmt w:val="lowerLetter"/>
      <w:lvlText w:val="%5)"/>
      <w:lvlJc w:val="left"/>
      <w:pPr>
        <w:tabs>
          <w:tab w:val="left" w:pos="2571"/>
        </w:tabs>
        <w:ind w:left="2571" w:hanging="420"/>
      </w:pPr>
    </w:lvl>
    <w:lvl w:ilvl="5" w:tentative="0">
      <w:start w:val="1"/>
      <w:numFmt w:val="lowerRoman"/>
      <w:lvlText w:val="%6."/>
      <w:lvlJc w:val="right"/>
      <w:pPr>
        <w:tabs>
          <w:tab w:val="left" w:pos="2991"/>
        </w:tabs>
        <w:ind w:left="2991" w:hanging="420"/>
      </w:pPr>
    </w:lvl>
    <w:lvl w:ilvl="6" w:tentative="0">
      <w:start w:val="1"/>
      <w:numFmt w:val="decimal"/>
      <w:lvlText w:val="%7."/>
      <w:lvlJc w:val="left"/>
      <w:pPr>
        <w:tabs>
          <w:tab w:val="left" w:pos="3411"/>
        </w:tabs>
        <w:ind w:left="3411" w:hanging="420"/>
      </w:pPr>
    </w:lvl>
    <w:lvl w:ilvl="7" w:tentative="0">
      <w:start w:val="1"/>
      <w:numFmt w:val="lowerLetter"/>
      <w:lvlText w:val="%8)"/>
      <w:lvlJc w:val="left"/>
      <w:pPr>
        <w:tabs>
          <w:tab w:val="left" w:pos="3831"/>
        </w:tabs>
        <w:ind w:left="3831" w:hanging="420"/>
      </w:pPr>
    </w:lvl>
    <w:lvl w:ilvl="8" w:tentative="0">
      <w:start w:val="1"/>
      <w:numFmt w:val="lowerRoman"/>
      <w:lvlText w:val="%9."/>
      <w:lvlJc w:val="right"/>
      <w:pPr>
        <w:tabs>
          <w:tab w:val="left" w:pos="4251"/>
        </w:tabs>
        <w:ind w:left="4251" w:hanging="420"/>
      </w:pPr>
    </w:lvl>
  </w:abstractNum>
  <w:abstractNum w:abstractNumId="4">
    <w:nsid w:val="1B819923"/>
    <w:multiLevelType w:val="singleLevel"/>
    <w:tmpl w:val="1B819923"/>
    <w:lvl w:ilvl="0" w:tentative="0">
      <w:start w:val="1"/>
      <w:numFmt w:val="decimal"/>
      <w:suff w:val="nothing"/>
      <w:lvlText w:val="%1、"/>
      <w:lvlJc w:val="left"/>
    </w:lvl>
  </w:abstractNum>
  <w:abstractNum w:abstractNumId="5">
    <w:nsid w:val="572AE91F"/>
    <w:multiLevelType w:val="singleLevel"/>
    <w:tmpl w:val="572AE91F"/>
    <w:lvl w:ilvl="0" w:tentative="0">
      <w:start w:val="5"/>
      <w:numFmt w:val="chineseCounting"/>
      <w:suff w:val="space"/>
      <w:lvlText w:val="第%1章"/>
      <w:lvlJc w:val="left"/>
    </w:lvl>
  </w:abstractNum>
  <w:abstractNum w:abstractNumId="6">
    <w:nsid w:val="5AC27D36"/>
    <w:multiLevelType w:val="multilevel"/>
    <w:tmpl w:val="5AC27D36"/>
    <w:lvl w:ilvl="0" w:tentative="0">
      <w:start w:val="1"/>
      <w:numFmt w:val="decimal"/>
      <w:lvlText w:val="1.%1"/>
      <w:lvlJc w:val="left"/>
      <w:pPr>
        <w:tabs>
          <w:tab w:val="left" w:pos="425"/>
        </w:tabs>
        <w:ind w:left="425" w:hanging="425"/>
      </w:pPr>
      <w:rPr>
        <w:rFonts w:hint="eastAsia"/>
      </w:rPr>
    </w:lvl>
    <w:lvl w:ilvl="1" w:tentative="0">
      <w:start w:val="1"/>
      <w:numFmt w:val="decimal"/>
      <w:lvlText w:val="1.%2."/>
      <w:lvlJc w:val="left"/>
      <w:pPr>
        <w:tabs>
          <w:tab w:val="left" w:pos="845"/>
        </w:tabs>
        <w:ind w:left="845" w:hanging="420"/>
      </w:pPr>
      <w:rPr>
        <w:rFonts w:hint="eastAsia" w:ascii="宋体" w:hAnsi="宋体" w:eastAsia="宋体"/>
      </w:rPr>
    </w:lvl>
    <w:lvl w:ilvl="2" w:tentative="0">
      <w:start w:val="1"/>
      <w:numFmt w:val="decimal"/>
      <w:lvlText w:val="附件8－%3."/>
      <w:lvlJc w:val="left"/>
      <w:pPr>
        <w:tabs>
          <w:tab w:val="left" w:pos="2291"/>
        </w:tabs>
        <w:ind w:left="1418" w:hanging="567"/>
      </w:pPr>
      <w:rPr>
        <w:rFonts w:hint="eastAsia"/>
      </w:rPr>
    </w:lvl>
    <w:lvl w:ilvl="3" w:tentative="0">
      <w:start w:val="1"/>
      <w:numFmt w:val="decimal"/>
      <w:lvlText w:val="%1.%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16DA72"/>
    <w:multiLevelType w:val="singleLevel"/>
    <w:tmpl w:val="6516DA72"/>
    <w:lvl w:ilvl="0" w:tentative="0">
      <w:start w:val="4"/>
      <w:numFmt w:val="decimal"/>
      <w:suff w:val="nothing"/>
      <w:lvlText w:val="%1、"/>
      <w:lvlJc w:val="left"/>
    </w:lvl>
  </w:abstractNum>
  <w:num w:numId="1">
    <w:abstractNumId w:val="1"/>
  </w:num>
  <w:num w:numId="2">
    <w:abstractNumId w:val="5"/>
  </w:num>
  <w:num w:numId="3">
    <w:abstractNumId w:val="7"/>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4"/>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NjNmMTNlNmU5ZGQ4N2Y1MmQzYzlkN2I4MTc4YWEifQ=="/>
  </w:docVars>
  <w:rsids>
    <w:rsidRoot w:val="00172A27"/>
    <w:rsid w:val="000002C1"/>
    <w:rsid w:val="000008E1"/>
    <w:rsid w:val="000058C1"/>
    <w:rsid w:val="00005F7A"/>
    <w:rsid w:val="00006ABE"/>
    <w:rsid w:val="00007F59"/>
    <w:rsid w:val="0001029F"/>
    <w:rsid w:val="000102D4"/>
    <w:rsid w:val="00016294"/>
    <w:rsid w:val="00021EFF"/>
    <w:rsid w:val="00021FBC"/>
    <w:rsid w:val="00021FC4"/>
    <w:rsid w:val="00023F8C"/>
    <w:rsid w:val="000243F7"/>
    <w:rsid w:val="0002545F"/>
    <w:rsid w:val="000266BD"/>
    <w:rsid w:val="00026B68"/>
    <w:rsid w:val="000277A9"/>
    <w:rsid w:val="00034047"/>
    <w:rsid w:val="0003602F"/>
    <w:rsid w:val="000361E7"/>
    <w:rsid w:val="00037B25"/>
    <w:rsid w:val="00037B3B"/>
    <w:rsid w:val="000407F6"/>
    <w:rsid w:val="0004431A"/>
    <w:rsid w:val="00050BBD"/>
    <w:rsid w:val="00054028"/>
    <w:rsid w:val="00056E5D"/>
    <w:rsid w:val="0005762B"/>
    <w:rsid w:val="000606F5"/>
    <w:rsid w:val="00062482"/>
    <w:rsid w:val="00063304"/>
    <w:rsid w:val="000643A3"/>
    <w:rsid w:val="000655FD"/>
    <w:rsid w:val="00065E68"/>
    <w:rsid w:val="00066618"/>
    <w:rsid w:val="00071345"/>
    <w:rsid w:val="00071716"/>
    <w:rsid w:val="0007488A"/>
    <w:rsid w:val="00074B89"/>
    <w:rsid w:val="00074C43"/>
    <w:rsid w:val="000827D1"/>
    <w:rsid w:val="000829F3"/>
    <w:rsid w:val="00082D50"/>
    <w:rsid w:val="00083910"/>
    <w:rsid w:val="00084E31"/>
    <w:rsid w:val="00085F8A"/>
    <w:rsid w:val="00090781"/>
    <w:rsid w:val="000925AA"/>
    <w:rsid w:val="000939C5"/>
    <w:rsid w:val="00094062"/>
    <w:rsid w:val="000978C3"/>
    <w:rsid w:val="00097CA4"/>
    <w:rsid w:val="000A0625"/>
    <w:rsid w:val="000A08E5"/>
    <w:rsid w:val="000A1885"/>
    <w:rsid w:val="000A2C95"/>
    <w:rsid w:val="000A2F79"/>
    <w:rsid w:val="000A710B"/>
    <w:rsid w:val="000B2047"/>
    <w:rsid w:val="000B2801"/>
    <w:rsid w:val="000B38FB"/>
    <w:rsid w:val="000B4A07"/>
    <w:rsid w:val="000B53A1"/>
    <w:rsid w:val="000C1605"/>
    <w:rsid w:val="000C2C9C"/>
    <w:rsid w:val="000C3E5E"/>
    <w:rsid w:val="000C4679"/>
    <w:rsid w:val="000C7EA1"/>
    <w:rsid w:val="000D121D"/>
    <w:rsid w:val="000D204D"/>
    <w:rsid w:val="000D2216"/>
    <w:rsid w:val="000D2C01"/>
    <w:rsid w:val="000D4C32"/>
    <w:rsid w:val="000D5D57"/>
    <w:rsid w:val="000D694F"/>
    <w:rsid w:val="000D6E50"/>
    <w:rsid w:val="000E30B4"/>
    <w:rsid w:val="000E66F3"/>
    <w:rsid w:val="000F1902"/>
    <w:rsid w:val="000F2407"/>
    <w:rsid w:val="000F3446"/>
    <w:rsid w:val="000F454C"/>
    <w:rsid w:val="000F59FF"/>
    <w:rsid w:val="00100AF9"/>
    <w:rsid w:val="00100FE7"/>
    <w:rsid w:val="001020F7"/>
    <w:rsid w:val="00103D77"/>
    <w:rsid w:val="00105BBC"/>
    <w:rsid w:val="001062B6"/>
    <w:rsid w:val="00110BA5"/>
    <w:rsid w:val="0011354B"/>
    <w:rsid w:val="00113EAD"/>
    <w:rsid w:val="0011474C"/>
    <w:rsid w:val="0011720E"/>
    <w:rsid w:val="00120CE9"/>
    <w:rsid w:val="00123BD5"/>
    <w:rsid w:val="00125073"/>
    <w:rsid w:val="001256F9"/>
    <w:rsid w:val="001258B9"/>
    <w:rsid w:val="00127592"/>
    <w:rsid w:val="0013050F"/>
    <w:rsid w:val="00131CC6"/>
    <w:rsid w:val="0013239E"/>
    <w:rsid w:val="00132A4A"/>
    <w:rsid w:val="00133CBD"/>
    <w:rsid w:val="00135173"/>
    <w:rsid w:val="00136FE5"/>
    <w:rsid w:val="001370FE"/>
    <w:rsid w:val="001419C0"/>
    <w:rsid w:val="00141EA3"/>
    <w:rsid w:val="001423FA"/>
    <w:rsid w:val="0014374E"/>
    <w:rsid w:val="001505CF"/>
    <w:rsid w:val="00150875"/>
    <w:rsid w:val="00150D75"/>
    <w:rsid w:val="001528E4"/>
    <w:rsid w:val="00157327"/>
    <w:rsid w:val="00160BE8"/>
    <w:rsid w:val="00161A19"/>
    <w:rsid w:val="0016373B"/>
    <w:rsid w:val="001663EB"/>
    <w:rsid w:val="00172A27"/>
    <w:rsid w:val="00175CB6"/>
    <w:rsid w:val="00181ECB"/>
    <w:rsid w:val="0018394A"/>
    <w:rsid w:val="00186A58"/>
    <w:rsid w:val="00190C21"/>
    <w:rsid w:val="001929F3"/>
    <w:rsid w:val="00192AB4"/>
    <w:rsid w:val="001962B1"/>
    <w:rsid w:val="001976BE"/>
    <w:rsid w:val="001A0983"/>
    <w:rsid w:val="001A52EC"/>
    <w:rsid w:val="001A7854"/>
    <w:rsid w:val="001B0894"/>
    <w:rsid w:val="001B271D"/>
    <w:rsid w:val="001B4D1C"/>
    <w:rsid w:val="001B4E47"/>
    <w:rsid w:val="001B56E3"/>
    <w:rsid w:val="001B5775"/>
    <w:rsid w:val="001B6B02"/>
    <w:rsid w:val="001B70ED"/>
    <w:rsid w:val="001C216A"/>
    <w:rsid w:val="001C2231"/>
    <w:rsid w:val="001C6469"/>
    <w:rsid w:val="001C74A4"/>
    <w:rsid w:val="001D0AEE"/>
    <w:rsid w:val="001D1E4A"/>
    <w:rsid w:val="001D60DD"/>
    <w:rsid w:val="001E1A38"/>
    <w:rsid w:val="001E2662"/>
    <w:rsid w:val="001E3534"/>
    <w:rsid w:val="001E48AB"/>
    <w:rsid w:val="001E7C9C"/>
    <w:rsid w:val="001F31DA"/>
    <w:rsid w:val="001F4880"/>
    <w:rsid w:val="001F5047"/>
    <w:rsid w:val="001F5A4B"/>
    <w:rsid w:val="001F650B"/>
    <w:rsid w:val="001F66C8"/>
    <w:rsid w:val="001F69A4"/>
    <w:rsid w:val="00200061"/>
    <w:rsid w:val="00201B85"/>
    <w:rsid w:val="00202E65"/>
    <w:rsid w:val="00202E6E"/>
    <w:rsid w:val="0020376F"/>
    <w:rsid w:val="00206420"/>
    <w:rsid w:val="00206AF1"/>
    <w:rsid w:val="002070D5"/>
    <w:rsid w:val="00207784"/>
    <w:rsid w:val="00207F85"/>
    <w:rsid w:val="002100AE"/>
    <w:rsid w:val="00211497"/>
    <w:rsid w:val="00211E09"/>
    <w:rsid w:val="0021472D"/>
    <w:rsid w:val="00220D1F"/>
    <w:rsid w:val="00223466"/>
    <w:rsid w:val="00224F5F"/>
    <w:rsid w:val="00225670"/>
    <w:rsid w:val="002257D7"/>
    <w:rsid w:val="00225DFC"/>
    <w:rsid w:val="00231148"/>
    <w:rsid w:val="002315E8"/>
    <w:rsid w:val="00235015"/>
    <w:rsid w:val="00236425"/>
    <w:rsid w:val="00237122"/>
    <w:rsid w:val="00240EF7"/>
    <w:rsid w:val="002416D0"/>
    <w:rsid w:val="00245B72"/>
    <w:rsid w:val="002465F4"/>
    <w:rsid w:val="00246AE7"/>
    <w:rsid w:val="0024703E"/>
    <w:rsid w:val="00247445"/>
    <w:rsid w:val="002509ED"/>
    <w:rsid w:val="00253F6B"/>
    <w:rsid w:val="00255AB0"/>
    <w:rsid w:val="00260193"/>
    <w:rsid w:val="00260CD4"/>
    <w:rsid w:val="002611FD"/>
    <w:rsid w:val="00261BC6"/>
    <w:rsid w:val="00262D6D"/>
    <w:rsid w:val="00265658"/>
    <w:rsid w:val="002656FE"/>
    <w:rsid w:val="00266DB4"/>
    <w:rsid w:val="00266F2F"/>
    <w:rsid w:val="0026722D"/>
    <w:rsid w:val="00271E05"/>
    <w:rsid w:val="002743B2"/>
    <w:rsid w:val="00275439"/>
    <w:rsid w:val="00275DE2"/>
    <w:rsid w:val="002818BB"/>
    <w:rsid w:val="00282F3A"/>
    <w:rsid w:val="00284552"/>
    <w:rsid w:val="00284E6A"/>
    <w:rsid w:val="00287542"/>
    <w:rsid w:val="00287808"/>
    <w:rsid w:val="002879D0"/>
    <w:rsid w:val="00291332"/>
    <w:rsid w:val="00291738"/>
    <w:rsid w:val="00294389"/>
    <w:rsid w:val="0029796E"/>
    <w:rsid w:val="00297FE6"/>
    <w:rsid w:val="002A09EE"/>
    <w:rsid w:val="002A1CB7"/>
    <w:rsid w:val="002A1F8F"/>
    <w:rsid w:val="002A2D12"/>
    <w:rsid w:val="002A2F7D"/>
    <w:rsid w:val="002A4CE4"/>
    <w:rsid w:val="002A6137"/>
    <w:rsid w:val="002A71EE"/>
    <w:rsid w:val="002A7980"/>
    <w:rsid w:val="002B7251"/>
    <w:rsid w:val="002B77A5"/>
    <w:rsid w:val="002B7CFD"/>
    <w:rsid w:val="002C2290"/>
    <w:rsid w:val="002C3237"/>
    <w:rsid w:val="002C5470"/>
    <w:rsid w:val="002C5AB6"/>
    <w:rsid w:val="002C617F"/>
    <w:rsid w:val="002C71C8"/>
    <w:rsid w:val="002D0F15"/>
    <w:rsid w:val="002D7709"/>
    <w:rsid w:val="002D7C8B"/>
    <w:rsid w:val="002E0741"/>
    <w:rsid w:val="002E214B"/>
    <w:rsid w:val="002E385C"/>
    <w:rsid w:val="002E5876"/>
    <w:rsid w:val="002E5B21"/>
    <w:rsid w:val="002E62B0"/>
    <w:rsid w:val="002F2C1A"/>
    <w:rsid w:val="002F2F03"/>
    <w:rsid w:val="002F3519"/>
    <w:rsid w:val="002F677F"/>
    <w:rsid w:val="0030187C"/>
    <w:rsid w:val="00303A7A"/>
    <w:rsid w:val="00305B2D"/>
    <w:rsid w:val="00306E19"/>
    <w:rsid w:val="0030764B"/>
    <w:rsid w:val="00307ADC"/>
    <w:rsid w:val="003101C1"/>
    <w:rsid w:val="00314C22"/>
    <w:rsid w:val="00314EA0"/>
    <w:rsid w:val="003175A8"/>
    <w:rsid w:val="0032064F"/>
    <w:rsid w:val="00320AEB"/>
    <w:rsid w:val="003311BA"/>
    <w:rsid w:val="00331BE9"/>
    <w:rsid w:val="00331C0C"/>
    <w:rsid w:val="00331CB7"/>
    <w:rsid w:val="0033229E"/>
    <w:rsid w:val="00332927"/>
    <w:rsid w:val="003339B0"/>
    <w:rsid w:val="00335723"/>
    <w:rsid w:val="003358D8"/>
    <w:rsid w:val="00337545"/>
    <w:rsid w:val="003428D6"/>
    <w:rsid w:val="00343298"/>
    <w:rsid w:val="00343431"/>
    <w:rsid w:val="00343CC0"/>
    <w:rsid w:val="00343F86"/>
    <w:rsid w:val="00346592"/>
    <w:rsid w:val="00346D58"/>
    <w:rsid w:val="00346FA1"/>
    <w:rsid w:val="00347DEF"/>
    <w:rsid w:val="00350C1C"/>
    <w:rsid w:val="00354907"/>
    <w:rsid w:val="00355DBE"/>
    <w:rsid w:val="00356CA9"/>
    <w:rsid w:val="003643E9"/>
    <w:rsid w:val="00366D9E"/>
    <w:rsid w:val="00366DF2"/>
    <w:rsid w:val="0037003C"/>
    <w:rsid w:val="00370706"/>
    <w:rsid w:val="00370805"/>
    <w:rsid w:val="00370AC4"/>
    <w:rsid w:val="00372BAE"/>
    <w:rsid w:val="00373EA2"/>
    <w:rsid w:val="003740F9"/>
    <w:rsid w:val="00374DDC"/>
    <w:rsid w:val="003776B3"/>
    <w:rsid w:val="003817E3"/>
    <w:rsid w:val="00381EBE"/>
    <w:rsid w:val="0038506A"/>
    <w:rsid w:val="003858EF"/>
    <w:rsid w:val="0038623A"/>
    <w:rsid w:val="00387854"/>
    <w:rsid w:val="00396574"/>
    <w:rsid w:val="003967B3"/>
    <w:rsid w:val="00397129"/>
    <w:rsid w:val="003975A5"/>
    <w:rsid w:val="0039790E"/>
    <w:rsid w:val="00397C9B"/>
    <w:rsid w:val="003A01C6"/>
    <w:rsid w:val="003A3BAC"/>
    <w:rsid w:val="003A5164"/>
    <w:rsid w:val="003A5379"/>
    <w:rsid w:val="003A57BD"/>
    <w:rsid w:val="003A7C67"/>
    <w:rsid w:val="003B5138"/>
    <w:rsid w:val="003C08D2"/>
    <w:rsid w:val="003C0C28"/>
    <w:rsid w:val="003C1F8E"/>
    <w:rsid w:val="003C286E"/>
    <w:rsid w:val="003C58FD"/>
    <w:rsid w:val="003C5C67"/>
    <w:rsid w:val="003D0A3A"/>
    <w:rsid w:val="003D2FA0"/>
    <w:rsid w:val="003D5966"/>
    <w:rsid w:val="003D6CB7"/>
    <w:rsid w:val="003D77DF"/>
    <w:rsid w:val="003E3312"/>
    <w:rsid w:val="003E5F57"/>
    <w:rsid w:val="003E6CA3"/>
    <w:rsid w:val="003E764B"/>
    <w:rsid w:val="003E7713"/>
    <w:rsid w:val="003F0730"/>
    <w:rsid w:val="003F4B46"/>
    <w:rsid w:val="004002F3"/>
    <w:rsid w:val="004011B9"/>
    <w:rsid w:val="00403824"/>
    <w:rsid w:val="004050BB"/>
    <w:rsid w:val="004059F8"/>
    <w:rsid w:val="004064B2"/>
    <w:rsid w:val="00406D92"/>
    <w:rsid w:val="00407C91"/>
    <w:rsid w:val="00411773"/>
    <w:rsid w:val="00412E9C"/>
    <w:rsid w:val="004136C9"/>
    <w:rsid w:val="00413FE7"/>
    <w:rsid w:val="004161DA"/>
    <w:rsid w:val="00416484"/>
    <w:rsid w:val="00417B98"/>
    <w:rsid w:val="0042038D"/>
    <w:rsid w:val="00420773"/>
    <w:rsid w:val="00425D87"/>
    <w:rsid w:val="00425FD6"/>
    <w:rsid w:val="004279C7"/>
    <w:rsid w:val="0043369C"/>
    <w:rsid w:val="00433D36"/>
    <w:rsid w:val="0043477C"/>
    <w:rsid w:val="00434E35"/>
    <w:rsid w:val="00437C76"/>
    <w:rsid w:val="00441EA4"/>
    <w:rsid w:val="00444AB9"/>
    <w:rsid w:val="00447C56"/>
    <w:rsid w:val="00451E6C"/>
    <w:rsid w:val="00453C4A"/>
    <w:rsid w:val="00453D73"/>
    <w:rsid w:val="00453E65"/>
    <w:rsid w:val="004561B2"/>
    <w:rsid w:val="0045785B"/>
    <w:rsid w:val="00461130"/>
    <w:rsid w:val="004623F7"/>
    <w:rsid w:val="0046356E"/>
    <w:rsid w:val="0047073F"/>
    <w:rsid w:val="004719DC"/>
    <w:rsid w:val="004721E5"/>
    <w:rsid w:val="004736DD"/>
    <w:rsid w:val="004754BC"/>
    <w:rsid w:val="0048159E"/>
    <w:rsid w:val="004817D8"/>
    <w:rsid w:val="004820DF"/>
    <w:rsid w:val="00482A61"/>
    <w:rsid w:val="00490AC6"/>
    <w:rsid w:val="00490D12"/>
    <w:rsid w:val="00491943"/>
    <w:rsid w:val="00491CD0"/>
    <w:rsid w:val="0049332D"/>
    <w:rsid w:val="00493E82"/>
    <w:rsid w:val="00496D73"/>
    <w:rsid w:val="004A1BF1"/>
    <w:rsid w:val="004A377D"/>
    <w:rsid w:val="004A3BDB"/>
    <w:rsid w:val="004A405A"/>
    <w:rsid w:val="004A56DD"/>
    <w:rsid w:val="004A5934"/>
    <w:rsid w:val="004A5F1F"/>
    <w:rsid w:val="004A7F32"/>
    <w:rsid w:val="004B0C2D"/>
    <w:rsid w:val="004B1233"/>
    <w:rsid w:val="004B208A"/>
    <w:rsid w:val="004B5235"/>
    <w:rsid w:val="004B67DE"/>
    <w:rsid w:val="004B7D94"/>
    <w:rsid w:val="004C05C3"/>
    <w:rsid w:val="004C06BA"/>
    <w:rsid w:val="004C0AB3"/>
    <w:rsid w:val="004C0D0F"/>
    <w:rsid w:val="004C20BA"/>
    <w:rsid w:val="004C2A62"/>
    <w:rsid w:val="004C420A"/>
    <w:rsid w:val="004C434E"/>
    <w:rsid w:val="004C639B"/>
    <w:rsid w:val="004D00F8"/>
    <w:rsid w:val="004D097D"/>
    <w:rsid w:val="004D110E"/>
    <w:rsid w:val="004D128E"/>
    <w:rsid w:val="004E3E36"/>
    <w:rsid w:val="004E6211"/>
    <w:rsid w:val="004E704E"/>
    <w:rsid w:val="004F364D"/>
    <w:rsid w:val="004F534F"/>
    <w:rsid w:val="004F6D64"/>
    <w:rsid w:val="004F7AFA"/>
    <w:rsid w:val="00503EBC"/>
    <w:rsid w:val="00504311"/>
    <w:rsid w:val="00510574"/>
    <w:rsid w:val="00510919"/>
    <w:rsid w:val="00510E2C"/>
    <w:rsid w:val="00511A8D"/>
    <w:rsid w:val="005129D6"/>
    <w:rsid w:val="00513F04"/>
    <w:rsid w:val="00514F19"/>
    <w:rsid w:val="005164FD"/>
    <w:rsid w:val="0051662D"/>
    <w:rsid w:val="005177C6"/>
    <w:rsid w:val="005212FD"/>
    <w:rsid w:val="00524448"/>
    <w:rsid w:val="00526435"/>
    <w:rsid w:val="005300E8"/>
    <w:rsid w:val="00531DCB"/>
    <w:rsid w:val="00532531"/>
    <w:rsid w:val="00532C54"/>
    <w:rsid w:val="005348A6"/>
    <w:rsid w:val="0053747E"/>
    <w:rsid w:val="0053785D"/>
    <w:rsid w:val="00537AF6"/>
    <w:rsid w:val="00537DF0"/>
    <w:rsid w:val="00540647"/>
    <w:rsid w:val="00540E45"/>
    <w:rsid w:val="00547813"/>
    <w:rsid w:val="005478BE"/>
    <w:rsid w:val="005506EF"/>
    <w:rsid w:val="00551D57"/>
    <w:rsid w:val="005520FF"/>
    <w:rsid w:val="0055332A"/>
    <w:rsid w:val="005542D7"/>
    <w:rsid w:val="00555558"/>
    <w:rsid w:val="00556AF7"/>
    <w:rsid w:val="00560E05"/>
    <w:rsid w:val="0056421D"/>
    <w:rsid w:val="005655BC"/>
    <w:rsid w:val="00565752"/>
    <w:rsid w:val="005658DD"/>
    <w:rsid w:val="00566269"/>
    <w:rsid w:val="00567762"/>
    <w:rsid w:val="00570C05"/>
    <w:rsid w:val="00573D1A"/>
    <w:rsid w:val="00574C7B"/>
    <w:rsid w:val="00575CC1"/>
    <w:rsid w:val="00575F45"/>
    <w:rsid w:val="00576BA1"/>
    <w:rsid w:val="005804A2"/>
    <w:rsid w:val="00580A48"/>
    <w:rsid w:val="005823FB"/>
    <w:rsid w:val="005843B8"/>
    <w:rsid w:val="00585154"/>
    <w:rsid w:val="00591060"/>
    <w:rsid w:val="0059320F"/>
    <w:rsid w:val="00594010"/>
    <w:rsid w:val="00594BBE"/>
    <w:rsid w:val="005955DC"/>
    <w:rsid w:val="00595FA9"/>
    <w:rsid w:val="005972C3"/>
    <w:rsid w:val="005A52A9"/>
    <w:rsid w:val="005A673F"/>
    <w:rsid w:val="005A68E8"/>
    <w:rsid w:val="005B1057"/>
    <w:rsid w:val="005B11F9"/>
    <w:rsid w:val="005B21DF"/>
    <w:rsid w:val="005B2218"/>
    <w:rsid w:val="005B308C"/>
    <w:rsid w:val="005B63E4"/>
    <w:rsid w:val="005C0614"/>
    <w:rsid w:val="005C0967"/>
    <w:rsid w:val="005C0D06"/>
    <w:rsid w:val="005C0F29"/>
    <w:rsid w:val="005C176A"/>
    <w:rsid w:val="005C24A9"/>
    <w:rsid w:val="005C2B69"/>
    <w:rsid w:val="005D20C0"/>
    <w:rsid w:val="005D4622"/>
    <w:rsid w:val="005D60C9"/>
    <w:rsid w:val="005E1FC2"/>
    <w:rsid w:val="005E2C5E"/>
    <w:rsid w:val="005E57BB"/>
    <w:rsid w:val="005E5EDB"/>
    <w:rsid w:val="005E70E4"/>
    <w:rsid w:val="005E7AE6"/>
    <w:rsid w:val="005F0F23"/>
    <w:rsid w:val="005F1612"/>
    <w:rsid w:val="005F23F4"/>
    <w:rsid w:val="005F44E9"/>
    <w:rsid w:val="005F6FF3"/>
    <w:rsid w:val="0060001C"/>
    <w:rsid w:val="00600D08"/>
    <w:rsid w:val="006031BC"/>
    <w:rsid w:val="00603887"/>
    <w:rsid w:val="0060566C"/>
    <w:rsid w:val="00610073"/>
    <w:rsid w:val="00612A25"/>
    <w:rsid w:val="00612E25"/>
    <w:rsid w:val="00622E32"/>
    <w:rsid w:val="006231DE"/>
    <w:rsid w:val="00623ACE"/>
    <w:rsid w:val="00624133"/>
    <w:rsid w:val="00624E4B"/>
    <w:rsid w:val="0062576A"/>
    <w:rsid w:val="006263B4"/>
    <w:rsid w:val="00626C16"/>
    <w:rsid w:val="00627EC6"/>
    <w:rsid w:val="00630B33"/>
    <w:rsid w:val="00635629"/>
    <w:rsid w:val="00636961"/>
    <w:rsid w:val="0064036E"/>
    <w:rsid w:val="00640665"/>
    <w:rsid w:val="006432F4"/>
    <w:rsid w:val="0065025F"/>
    <w:rsid w:val="0065063B"/>
    <w:rsid w:val="0065066E"/>
    <w:rsid w:val="006532BB"/>
    <w:rsid w:val="006533D1"/>
    <w:rsid w:val="00662669"/>
    <w:rsid w:val="00662D7B"/>
    <w:rsid w:val="0066442C"/>
    <w:rsid w:val="0066525D"/>
    <w:rsid w:val="00670595"/>
    <w:rsid w:val="006724B4"/>
    <w:rsid w:val="00674238"/>
    <w:rsid w:val="00676826"/>
    <w:rsid w:val="00677BFF"/>
    <w:rsid w:val="00681F0C"/>
    <w:rsid w:val="0068305C"/>
    <w:rsid w:val="006857B3"/>
    <w:rsid w:val="00685AC6"/>
    <w:rsid w:val="00685DB2"/>
    <w:rsid w:val="006869E9"/>
    <w:rsid w:val="00691A51"/>
    <w:rsid w:val="00695F5C"/>
    <w:rsid w:val="006A01B3"/>
    <w:rsid w:val="006A2399"/>
    <w:rsid w:val="006A3276"/>
    <w:rsid w:val="006A454F"/>
    <w:rsid w:val="006A4FF1"/>
    <w:rsid w:val="006B137D"/>
    <w:rsid w:val="006B302A"/>
    <w:rsid w:val="006B5A48"/>
    <w:rsid w:val="006B7CBA"/>
    <w:rsid w:val="006C0AE2"/>
    <w:rsid w:val="006C0B0E"/>
    <w:rsid w:val="006C24E4"/>
    <w:rsid w:val="006C2924"/>
    <w:rsid w:val="006C4232"/>
    <w:rsid w:val="006C54ED"/>
    <w:rsid w:val="006D2963"/>
    <w:rsid w:val="006D391B"/>
    <w:rsid w:val="006D485E"/>
    <w:rsid w:val="006D4923"/>
    <w:rsid w:val="006D56FF"/>
    <w:rsid w:val="006D69F6"/>
    <w:rsid w:val="006D7FE1"/>
    <w:rsid w:val="006E0C07"/>
    <w:rsid w:val="006E7514"/>
    <w:rsid w:val="006F005C"/>
    <w:rsid w:val="006F1BC8"/>
    <w:rsid w:val="006F27A5"/>
    <w:rsid w:val="006F6D7E"/>
    <w:rsid w:val="006F7773"/>
    <w:rsid w:val="006F7D2C"/>
    <w:rsid w:val="00700877"/>
    <w:rsid w:val="00707BF4"/>
    <w:rsid w:val="00710FDC"/>
    <w:rsid w:val="00711087"/>
    <w:rsid w:val="00711337"/>
    <w:rsid w:val="00711C49"/>
    <w:rsid w:val="00714731"/>
    <w:rsid w:val="00714E2E"/>
    <w:rsid w:val="00714F75"/>
    <w:rsid w:val="00715679"/>
    <w:rsid w:val="00716EFD"/>
    <w:rsid w:val="00723639"/>
    <w:rsid w:val="007243DF"/>
    <w:rsid w:val="007255B0"/>
    <w:rsid w:val="00730B53"/>
    <w:rsid w:val="00730BEA"/>
    <w:rsid w:val="0073114F"/>
    <w:rsid w:val="00731507"/>
    <w:rsid w:val="007319A3"/>
    <w:rsid w:val="0073343E"/>
    <w:rsid w:val="00737082"/>
    <w:rsid w:val="00741F4C"/>
    <w:rsid w:val="00745F77"/>
    <w:rsid w:val="00751575"/>
    <w:rsid w:val="00752A41"/>
    <w:rsid w:val="00753B5F"/>
    <w:rsid w:val="00754034"/>
    <w:rsid w:val="00754434"/>
    <w:rsid w:val="00755BF0"/>
    <w:rsid w:val="007560D9"/>
    <w:rsid w:val="00756C6B"/>
    <w:rsid w:val="0076084E"/>
    <w:rsid w:val="00760FB3"/>
    <w:rsid w:val="007630ED"/>
    <w:rsid w:val="00763D48"/>
    <w:rsid w:val="007643DF"/>
    <w:rsid w:val="007646D6"/>
    <w:rsid w:val="00766DBF"/>
    <w:rsid w:val="007707B5"/>
    <w:rsid w:val="0077231F"/>
    <w:rsid w:val="0077585D"/>
    <w:rsid w:val="007801C6"/>
    <w:rsid w:val="00782093"/>
    <w:rsid w:val="00787753"/>
    <w:rsid w:val="00787FF9"/>
    <w:rsid w:val="007907A9"/>
    <w:rsid w:val="0079111A"/>
    <w:rsid w:val="007912A4"/>
    <w:rsid w:val="00791ABB"/>
    <w:rsid w:val="00793083"/>
    <w:rsid w:val="00795CE4"/>
    <w:rsid w:val="00795E3E"/>
    <w:rsid w:val="00797254"/>
    <w:rsid w:val="007978F4"/>
    <w:rsid w:val="00797C10"/>
    <w:rsid w:val="007A29CA"/>
    <w:rsid w:val="007A3F59"/>
    <w:rsid w:val="007A40A5"/>
    <w:rsid w:val="007A46CB"/>
    <w:rsid w:val="007A4F32"/>
    <w:rsid w:val="007A5123"/>
    <w:rsid w:val="007A57DE"/>
    <w:rsid w:val="007A775F"/>
    <w:rsid w:val="007B52DA"/>
    <w:rsid w:val="007B5C58"/>
    <w:rsid w:val="007B606D"/>
    <w:rsid w:val="007C195A"/>
    <w:rsid w:val="007C22C0"/>
    <w:rsid w:val="007C4227"/>
    <w:rsid w:val="007C49FB"/>
    <w:rsid w:val="007C4F71"/>
    <w:rsid w:val="007C5341"/>
    <w:rsid w:val="007C5728"/>
    <w:rsid w:val="007C6A4A"/>
    <w:rsid w:val="007C7791"/>
    <w:rsid w:val="007D0055"/>
    <w:rsid w:val="007D017C"/>
    <w:rsid w:val="007D288E"/>
    <w:rsid w:val="007D621D"/>
    <w:rsid w:val="007D6568"/>
    <w:rsid w:val="007D7EAD"/>
    <w:rsid w:val="007E5AE8"/>
    <w:rsid w:val="007F08B4"/>
    <w:rsid w:val="007F2F43"/>
    <w:rsid w:val="007F3D4D"/>
    <w:rsid w:val="007F5D32"/>
    <w:rsid w:val="007F621E"/>
    <w:rsid w:val="007F6B3A"/>
    <w:rsid w:val="007F7318"/>
    <w:rsid w:val="00800788"/>
    <w:rsid w:val="00803322"/>
    <w:rsid w:val="00803D57"/>
    <w:rsid w:val="0080404F"/>
    <w:rsid w:val="0080429F"/>
    <w:rsid w:val="00813985"/>
    <w:rsid w:val="00813D21"/>
    <w:rsid w:val="00821D4A"/>
    <w:rsid w:val="00821F15"/>
    <w:rsid w:val="00822664"/>
    <w:rsid w:val="0082294F"/>
    <w:rsid w:val="00822F8C"/>
    <w:rsid w:val="00824DCB"/>
    <w:rsid w:val="0082509F"/>
    <w:rsid w:val="00833A03"/>
    <w:rsid w:val="00834A43"/>
    <w:rsid w:val="008364E9"/>
    <w:rsid w:val="00840AA8"/>
    <w:rsid w:val="00840B3E"/>
    <w:rsid w:val="0084159C"/>
    <w:rsid w:val="00843113"/>
    <w:rsid w:val="0084730D"/>
    <w:rsid w:val="00850261"/>
    <w:rsid w:val="00850986"/>
    <w:rsid w:val="00851DD2"/>
    <w:rsid w:val="00851FB3"/>
    <w:rsid w:val="00856C37"/>
    <w:rsid w:val="008614A0"/>
    <w:rsid w:val="00861850"/>
    <w:rsid w:val="008619E5"/>
    <w:rsid w:val="008673FE"/>
    <w:rsid w:val="00873C20"/>
    <w:rsid w:val="0087425F"/>
    <w:rsid w:val="0087464C"/>
    <w:rsid w:val="00874679"/>
    <w:rsid w:val="00876464"/>
    <w:rsid w:val="00881374"/>
    <w:rsid w:val="00881ADC"/>
    <w:rsid w:val="008836C9"/>
    <w:rsid w:val="00885115"/>
    <w:rsid w:val="0088637C"/>
    <w:rsid w:val="0088640D"/>
    <w:rsid w:val="00886A80"/>
    <w:rsid w:val="00886E32"/>
    <w:rsid w:val="00890DD9"/>
    <w:rsid w:val="00896233"/>
    <w:rsid w:val="008A1DDD"/>
    <w:rsid w:val="008A1F9B"/>
    <w:rsid w:val="008A5FAC"/>
    <w:rsid w:val="008A671F"/>
    <w:rsid w:val="008A7716"/>
    <w:rsid w:val="008A77DF"/>
    <w:rsid w:val="008B198C"/>
    <w:rsid w:val="008B2B0B"/>
    <w:rsid w:val="008B51B0"/>
    <w:rsid w:val="008B597C"/>
    <w:rsid w:val="008B5E27"/>
    <w:rsid w:val="008B6147"/>
    <w:rsid w:val="008B75F1"/>
    <w:rsid w:val="008C0A97"/>
    <w:rsid w:val="008C0CEB"/>
    <w:rsid w:val="008C27C3"/>
    <w:rsid w:val="008C3B2F"/>
    <w:rsid w:val="008C49C4"/>
    <w:rsid w:val="008C69DF"/>
    <w:rsid w:val="008C69E4"/>
    <w:rsid w:val="008C6B0A"/>
    <w:rsid w:val="008D1214"/>
    <w:rsid w:val="008D1A0F"/>
    <w:rsid w:val="008D1D53"/>
    <w:rsid w:val="008D2D0E"/>
    <w:rsid w:val="008D337D"/>
    <w:rsid w:val="008D42AF"/>
    <w:rsid w:val="008D55D5"/>
    <w:rsid w:val="008D722A"/>
    <w:rsid w:val="008E14D6"/>
    <w:rsid w:val="008E185D"/>
    <w:rsid w:val="008E1AF7"/>
    <w:rsid w:val="008E3424"/>
    <w:rsid w:val="008E6999"/>
    <w:rsid w:val="008F017F"/>
    <w:rsid w:val="008F2292"/>
    <w:rsid w:val="008F2F67"/>
    <w:rsid w:val="008F37FA"/>
    <w:rsid w:val="008F444E"/>
    <w:rsid w:val="008F44CB"/>
    <w:rsid w:val="008F4CB3"/>
    <w:rsid w:val="008F71E7"/>
    <w:rsid w:val="008F7D03"/>
    <w:rsid w:val="009004A3"/>
    <w:rsid w:val="00900E85"/>
    <w:rsid w:val="0090226B"/>
    <w:rsid w:val="00904C43"/>
    <w:rsid w:val="00904DBC"/>
    <w:rsid w:val="0090587E"/>
    <w:rsid w:val="0090752C"/>
    <w:rsid w:val="00907FB5"/>
    <w:rsid w:val="00907FE3"/>
    <w:rsid w:val="00910088"/>
    <w:rsid w:val="0091265E"/>
    <w:rsid w:val="009142DA"/>
    <w:rsid w:val="009148D6"/>
    <w:rsid w:val="00915AFC"/>
    <w:rsid w:val="0091600B"/>
    <w:rsid w:val="00916D33"/>
    <w:rsid w:val="009230B6"/>
    <w:rsid w:val="009232FF"/>
    <w:rsid w:val="009259B5"/>
    <w:rsid w:val="00925AEC"/>
    <w:rsid w:val="00931165"/>
    <w:rsid w:val="009312EF"/>
    <w:rsid w:val="00932AF0"/>
    <w:rsid w:val="009343B3"/>
    <w:rsid w:val="00934E93"/>
    <w:rsid w:val="009350AF"/>
    <w:rsid w:val="009353D7"/>
    <w:rsid w:val="009401C4"/>
    <w:rsid w:val="009416CA"/>
    <w:rsid w:val="00941DBD"/>
    <w:rsid w:val="009433B0"/>
    <w:rsid w:val="00943CEB"/>
    <w:rsid w:val="00947DE2"/>
    <w:rsid w:val="009505B0"/>
    <w:rsid w:val="009533E2"/>
    <w:rsid w:val="00955ADB"/>
    <w:rsid w:val="00962E18"/>
    <w:rsid w:val="009710E0"/>
    <w:rsid w:val="009716AF"/>
    <w:rsid w:val="00971C84"/>
    <w:rsid w:val="009722BC"/>
    <w:rsid w:val="0097298E"/>
    <w:rsid w:val="00974EFA"/>
    <w:rsid w:val="009777EE"/>
    <w:rsid w:val="00983BA5"/>
    <w:rsid w:val="00985679"/>
    <w:rsid w:val="00986B8F"/>
    <w:rsid w:val="00992988"/>
    <w:rsid w:val="00994A91"/>
    <w:rsid w:val="00995678"/>
    <w:rsid w:val="0099735D"/>
    <w:rsid w:val="009A1807"/>
    <w:rsid w:val="009A2180"/>
    <w:rsid w:val="009A28C8"/>
    <w:rsid w:val="009A3F9E"/>
    <w:rsid w:val="009A52DD"/>
    <w:rsid w:val="009A5E11"/>
    <w:rsid w:val="009A6682"/>
    <w:rsid w:val="009B1BE5"/>
    <w:rsid w:val="009B38B9"/>
    <w:rsid w:val="009B38DD"/>
    <w:rsid w:val="009B4041"/>
    <w:rsid w:val="009B4FA1"/>
    <w:rsid w:val="009C2BE5"/>
    <w:rsid w:val="009C4FC2"/>
    <w:rsid w:val="009C5B7D"/>
    <w:rsid w:val="009C67DC"/>
    <w:rsid w:val="009D10AC"/>
    <w:rsid w:val="009D1230"/>
    <w:rsid w:val="009D1396"/>
    <w:rsid w:val="009D25CB"/>
    <w:rsid w:val="009D6478"/>
    <w:rsid w:val="009D6507"/>
    <w:rsid w:val="009D69C2"/>
    <w:rsid w:val="009D6EB4"/>
    <w:rsid w:val="009D7486"/>
    <w:rsid w:val="009D7A77"/>
    <w:rsid w:val="009E0065"/>
    <w:rsid w:val="009E44EA"/>
    <w:rsid w:val="009E5581"/>
    <w:rsid w:val="009E61A2"/>
    <w:rsid w:val="009E736C"/>
    <w:rsid w:val="009E7727"/>
    <w:rsid w:val="009F1392"/>
    <w:rsid w:val="009F2972"/>
    <w:rsid w:val="009F2FD8"/>
    <w:rsid w:val="009F30E6"/>
    <w:rsid w:val="009F6E7B"/>
    <w:rsid w:val="009F7311"/>
    <w:rsid w:val="00A030B3"/>
    <w:rsid w:val="00A03A53"/>
    <w:rsid w:val="00A04558"/>
    <w:rsid w:val="00A1005B"/>
    <w:rsid w:val="00A126F8"/>
    <w:rsid w:val="00A13F6A"/>
    <w:rsid w:val="00A142BC"/>
    <w:rsid w:val="00A171CD"/>
    <w:rsid w:val="00A17A38"/>
    <w:rsid w:val="00A21807"/>
    <w:rsid w:val="00A21916"/>
    <w:rsid w:val="00A22747"/>
    <w:rsid w:val="00A242D4"/>
    <w:rsid w:val="00A2752B"/>
    <w:rsid w:val="00A30720"/>
    <w:rsid w:val="00A351B8"/>
    <w:rsid w:val="00A357CF"/>
    <w:rsid w:val="00A359A2"/>
    <w:rsid w:val="00A36898"/>
    <w:rsid w:val="00A368BE"/>
    <w:rsid w:val="00A40656"/>
    <w:rsid w:val="00A442F4"/>
    <w:rsid w:val="00A46D18"/>
    <w:rsid w:val="00A5270F"/>
    <w:rsid w:val="00A604D6"/>
    <w:rsid w:val="00A63A3E"/>
    <w:rsid w:val="00A63CBA"/>
    <w:rsid w:val="00A642C4"/>
    <w:rsid w:val="00A652DA"/>
    <w:rsid w:val="00A653C8"/>
    <w:rsid w:val="00A7282B"/>
    <w:rsid w:val="00A759AF"/>
    <w:rsid w:val="00A80E18"/>
    <w:rsid w:val="00A81B7C"/>
    <w:rsid w:val="00A825A6"/>
    <w:rsid w:val="00A82D72"/>
    <w:rsid w:val="00A84548"/>
    <w:rsid w:val="00A86365"/>
    <w:rsid w:val="00A908B0"/>
    <w:rsid w:val="00A9252B"/>
    <w:rsid w:val="00A92EBE"/>
    <w:rsid w:val="00A9516B"/>
    <w:rsid w:val="00A95AEB"/>
    <w:rsid w:val="00A97627"/>
    <w:rsid w:val="00AA16ED"/>
    <w:rsid w:val="00AA2853"/>
    <w:rsid w:val="00AA36C7"/>
    <w:rsid w:val="00AA3E27"/>
    <w:rsid w:val="00AA4304"/>
    <w:rsid w:val="00AA495E"/>
    <w:rsid w:val="00AA6934"/>
    <w:rsid w:val="00AA6E9D"/>
    <w:rsid w:val="00AA779D"/>
    <w:rsid w:val="00AA7BA4"/>
    <w:rsid w:val="00AB0C2C"/>
    <w:rsid w:val="00AB1078"/>
    <w:rsid w:val="00AB1346"/>
    <w:rsid w:val="00AB26DB"/>
    <w:rsid w:val="00AC234E"/>
    <w:rsid w:val="00AC4838"/>
    <w:rsid w:val="00AC50C2"/>
    <w:rsid w:val="00AC5EF7"/>
    <w:rsid w:val="00AC6885"/>
    <w:rsid w:val="00AD02A2"/>
    <w:rsid w:val="00AD0813"/>
    <w:rsid w:val="00AD24EF"/>
    <w:rsid w:val="00AD4E5D"/>
    <w:rsid w:val="00AD5A93"/>
    <w:rsid w:val="00AD6178"/>
    <w:rsid w:val="00AE024C"/>
    <w:rsid w:val="00AE371D"/>
    <w:rsid w:val="00AE39AB"/>
    <w:rsid w:val="00AE584F"/>
    <w:rsid w:val="00AE63C3"/>
    <w:rsid w:val="00AE736A"/>
    <w:rsid w:val="00AE7CFC"/>
    <w:rsid w:val="00AF291F"/>
    <w:rsid w:val="00AF2FEE"/>
    <w:rsid w:val="00AF4129"/>
    <w:rsid w:val="00AF45C5"/>
    <w:rsid w:val="00AF6489"/>
    <w:rsid w:val="00AF7A9F"/>
    <w:rsid w:val="00B01D34"/>
    <w:rsid w:val="00B02F94"/>
    <w:rsid w:val="00B03609"/>
    <w:rsid w:val="00B03831"/>
    <w:rsid w:val="00B03DBB"/>
    <w:rsid w:val="00B04254"/>
    <w:rsid w:val="00B05449"/>
    <w:rsid w:val="00B05903"/>
    <w:rsid w:val="00B06150"/>
    <w:rsid w:val="00B06E17"/>
    <w:rsid w:val="00B07AE9"/>
    <w:rsid w:val="00B10648"/>
    <w:rsid w:val="00B116B8"/>
    <w:rsid w:val="00B12C04"/>
    <w:rsid w:val="00B15007"/>
    <w:rsid w:val="00B16DE7"/>
    <w:rsid w:val="00B179CD"/>
    <w:rsid w:val="00B21896"/>
    <w:rsid w:val="00B225D7"/>
    <w:rsid w:val="00B238D3"/>
    <w:rsid w:val="00B24177"/>
    <w:rsid w:val="00B24DA4"/>
    <w:rsid w:val="00B2612F"/>
    <w:rsid w:val="00B27BD7"/>
    <w:rsid w:val="00B30D05"/>
    <w:rsid w:val="00B327DB"/>
    <w:rsid w:val="00B357A3"/>
    <w:rsid w:val="00B40FDF"/>
    <w:rsid w:val="00B41871"/>
    <w:rsid w:val="00B4336F"/>
    <w:rsid w:val="00B435DE"/>
    <w:rsid w:val="00B4522D"/>
    <w:rsid w:val="00B457FA"/>
    <w:rsid w:val="00B4598F"/>
    <w:rsid w:val="00B46BF7"/>
    <w:rsid w:val="00B475D4"/>
    <w:rsid w:val="00B500A0"/>
    <w:rsid w:val="00B50E29"/>
    <w:rsid w:val="00B51E97"/>
    <w:rsid w:val="00B5215B"/>
    <w:rsid w:val="00B5327F"/>
    <w:rsid w:val="00B565FE"/>
    <w:rsid w:val="00B57C66"/>
    <w:rsid w:val="00B60458"/>
    <w:rsid w:val="00B61888"/>
    <w:rsid w:val="00B61DC3"/>
    <w:rsid w:val="00B633C4"/>
    <w:rsid w:val="00B67AEA"/>
    <w:rsid w:val="00B702BE"/>
    <w:rsid w:val="00B72C66"/>
    <w:rsid w:val="00B73C62"/>
    <w:rsid w:val="00B82043"/>
    <w:rsid w:val="00B83C32"/>
    <w:rsid w:val="00B85816"/>
    <w:rsid w:val="00B875C0"/>
    <w:rsid w:val="00B90608"/>
    <w:rsid w:val="00B9166F"/>
    <w:rsid w:val="00B920AD"/>
    <w:rsid w:val="00B94032"/>
    <w:rsid w:val="00B94C8E"/>
    <w:rsid w:val="00B966AC"/>
    <w:rsid w:val="00BA1064"/>
    <w:rsid w:val="00BA19B6"/>
    <w:rsid w:val="00BA3F2C"/>
    <w:rsid w:val="00BA485C"/>
    <w:rsid w:val="00BA48FC"/>
    <w:rsid w:val="00BA4C75"/>
    <w:rsid w:val="00BA5B51"/>
    <w:rsid w:val="00BA6979"/>
    <w:rsid w:val="00BA790D"/>
    <w:rsid w:val="00BA7BA2"/>
    <w:rsid w:val="00BB279B"/>
    <w:rsid w:val="00BB4323"/>
    <w:rsid w:val="00BB452C"/>
    <w:rsid w:val="00BB4532"/>
    <w:rsid w:val="00BB4A21"/>
    <w:rsid w:val="00BB5276"/>
    <w:rsid w:val="00BB5277"/>
    <w:rsid w:val="00BB650B"/>
    <w:rsid w:val="00BB6BFB"/>
    <w:rsid w:val="00BC1816"/>
    <w:rsid w:val="00BC488D"/>
    <w:rsid w:val="00BC58A4"/>
    <w:rsid w:val="00BC781E"/>
    <w:rsid w:val="00BD0C5A"/>
    <w:rsid w:val="00BD1973"/>
    <w:rsid w:val="00BD358F"/>
    <w:rsid w:val="00BD4809"/>
    <w:rsid w:val="00BD5E5C"/>
    <w:rsid w:val="00BD5F32"/>
    <w:rsid w:val="00BD774B"/>
    <w:rsid w:val="00BE437C"/>
    <w:rsid w:val="00BE5949"/>
    <w:rsid w:val="00BF0241"/>
    <w:rsid w:val="00BF3055"/>
    <w:rsid w:val="00BF3693"/>
    <w:rsid w:val="00BF3E3E"/>
    <w:rsid w:val="00C01D39"/>
    <w:rsid w:val="00C05C52"/>
    <w:rsid w:val="00C05E82"/>
    <w:rsid w:val="00C06C84"/>
    <w:rsid w:val="00C103CD"/>
    <w:rsid w:val="00C1253A"/>
    <w:rsid w:val="00C12544"/>
    <w:rsid w:val="00C12799"/>
    <w:rsid w:val="00C12FA8"/>
    <w:rsid w:val="00C134E6"/>
    <w:rsid w:val="00C152D0"/>
    <w:rsid w:val="00C213E5"/>
    <w:rsid w:val="00C2274F"/>
    <w:rsid w:val="00C23244"/>
    <w:rsid w:val="00C2376C"/>
    <w:rsid w:val="00C24CCA"/>
    <w:rsid w:val="00C25C9B"/>
    <w:rsid w:val="00C261AB"/>
    <w:rsid w:val="00C26417"/>
    <w:rsid w:val="00C26F81"/>
    <w:rsid w:val="00C32303"/>
    <w:rsid w:val="00C323FD"/>
    <w:rsid w:val="00C36220"/>
    <w:rsid w:val="00C362DF"/>
    <w:rsid w:val="00C42BB6"/>
    <w:rsid w:val="00C5050E"/>
    <w:rsid w:val="00C5077E"/>
    <w:rsid w:val="00C5169C"/>
    <w:rsid w:val="00C537C1"/>
    <w:rsid w:val="00C5650E"/>
    <w:rsid w:val="00C601D5"/>
    <w:rsid w:val="00C60DC9"/>
    <w:rsid w:val="00C623F7"/>
    <w:rsid w:val="00C62F10"/>
    <w:rsid w:val="00C63034"/>
    <w:rsid w:val="00C6413D"/>
    <w:rsid w:val="00C65ACA"/>
    <w:rsid w:val="00C65F14"/>
    <w:rsid w:val="00C66C45"/>
    <w:rsid w:val="00C67F24"/>
    <w:rsid w:val="00C716A7"/>
    <w:rsid w:val="00C73F67"/>
    <w:rsid w:val="00C75E74"/>
    <w:rsid w:val="00C77802"/>
    <w:rsid w:val="00C81801"/>
    <w:rsid w:val="00C81CBC"/>
    <w:rsid w:val="00C83130"/>
    <w:rsid w:val="00C85850"/>
    <w:rsid w:val="00C86011"/>
    <w:rsid w:val="00C8675F"/>
    <w:rsid w:val="00C91194"/>
    <w:rsid w:val="00C92B10"/>
    <w:rsid w:val="00C94724"/>
    <w:rsid w:val="00C953DF"/>
    <w:rsid w:val="00C966DF"/>
    <w:rsid w:val="00C97E68"/>
    <w:rsid w:val="00CA21BE"/>
    <w:rsid w:val="00CA27FF"/>
    <w:rsid w:val="00CA3413"/>
    <w:rsid w:val="00CA3DB6"/>
    <w:rsid w:val="00CA478F"/>
    <w:rsid w:val="00CA56B5"/>
    <w:rsid w:val="00CA5DFF"/>
    <w:rsid w:val="00CA7956"/>
    <w:rsid w:val="00CB3ACE"/>
    <w:rsid w:val="00CB670E"/>
    <w:rsid w:val="00CB677B"/>
    <w:rsid w:val="00CB6841"/>
    <w:rsid w:val="00CB6E94"/>
    <w:rsid w:val="00CB74DE"/>
    <w:rsid w:val="00CC0D30"/>
    <w:rsid w:val="00CC22FF"/>
    <w:rsid w:val="00CC6901"/>
    <w:rsid w:val="00CC7E4B"/>
    <w:rsid w:val="00CD0167"/>
    <w:rsid w:val="00CD078C"/>
    <w:rsid w:val="00CD27BA"/>
    <w:rsid w:val="00CD2C75"/>
    <w:rsid w:val="00CD5DE2"/>
    <w:rsid w:val="00CD65C9"/>
    <w:rsid w:val="00CD6C97"/>
    <w:rsid w:val="00CD7B18"/>
    <w:rsid w:val="00CE64D2"/>
    <w:rsid w:val="00CF055B"/>
    <w:rsid w:val="00CF2864"/>
    <w:rsid w:val="00CF47F7"/>
    <w:rsid w:val="00CF53AC"/>
    <w:rsid w:val="00D0546B"/>
    <w:rsid w:val="00D11D6B"/>
    <w:rsid w:val="00D12B9D"/>
    <w:rsid w:val="00D135A1"/>
    <w:rsid w:val="00D137BA"/>
    <w:rsid w:val="00D14282"/>
    <w:rsid w:val="00D144D7"/>
    <w:rsid w:val="00D20604"/>
    <w:rsid w:val="00D21EB2"/>
    <w:rsid w:val="00D22B47"/>
    <w:rsid w:val="00D243D9"/>
    <w:rsid w:val="00D24484"/>
    <w:rsid w:val="00D26DA3"/>
    <w:rsid w:val="00D320AF"/>
    <w:rsid w:val="00D32226"/>
    <w:rsid w:val="00D3542F"/>
    <w:rsid w:val="00D35DBF"/>
    <w:rsid w:val="00D35FDD"/>
    <w:rsid w:val="00D37314"/>
    <w:rsid w:val="00D3784D"/>
    <w:rsid w:val="00D4173E"/>
    <w:rsid w:val="00D41B42"/>
    <w:rsid w:val="00D41C70"/>
    <w:rsid w:val="00D42027"/>
    <w:rsid w:val="00D43876"/>
    <w:rsid w:val="00D43F36"/>
    <w:rsid w:val="00D4436B"/>
    <w:rsid w:val="00D44ADF"/>
    <w:rsid w:val="00D469C2"/>
    <w:rsid w:val="00D46DD3"/>
    <w:rsid w:val="00D4720E"/>
    <w:rsid w:val="00D50F9A"/>
    <w:rsid w:val="00D52242"/>
    <w:rsid w:val="00D54CBA"/>
    <w:rsid w:val="00D60E7B"/>
    <w:rsid w:val="00D61BD2"/>
    <w:rsid w:val="00D63D15"/>
    <w:rsid w:val="00D6701F"/>
    <w:rsid w:val="00D700E9"/>
    <w:rsid w:val="00D70C0A"/>
    <w:rsid w:val="00D70E57"/>
    <w:rsid w:val="00D710A9"/>
    <w:rsid w:val="00D72AC8"/>
    <w:rsid w:val="00D74E19"/>
    <w:rsid w:val="00D7524C"/>
    <w:rsid w:val="00D76F95"/>
    <w:rsid w:val="00D771EC"/>
    <w:rsid w:val="00D77551"/>
    <w:rsid w:val="00D80D27"/>
    <w:rsid w:val="00D818DD"/>
    <w:rsid w:val="00D845E8"/>
    <w:rsid w:val="00D86845"/>
    <w:rsid w:val="00D870B0"/>
    <w:rsid w:val="00D8769F"/>
    <w:rsid w:val="00D87B3C"/>
    <w:rsid w:val="00D91AA6"/>
    <w:rsid w:val="00D931E2"/>
    <w:rsid w:val="00D97119"/>
    <w:rsid w:val="00D97E9E"/>
    <w:rsid w:val="00DA1876"/>
    <w:rsid w:val="00DA6A34"/>
    <w:rsid w:val="00DA76FF"/>
    <w:rsid w:val="00DA7DD8"/>
    <w:rsid w:val="00DB118B"/>
    <w:rsid w:val="00DB201F"/>
    <w:rsid w:val="00DB5E21"/>
    <w:rsid w:val="00DB6033"/>
    <w:rsid w:val="00DC44D1"/>
    <w:rsid w:val="00DC7E3B"/>
    <w:rsid w:val="00DD2172"/>
    <w:rsid w:val="00DD34C6"/>
    <w:rsid w:val="00DD4A5B"/>
    <w:rsid w:val="00DD67D4"/>
    <w:rsid w:val="00DD6EF5"/>
    <w:rsid w:val="00DD7405"/>
    <w:rsid w:val="00DE5AF6"/>
    <w:rsid w:val="00DE7267"/>
    <w:rsid w:val="00DF0FAE"/>
    <w:rsid w:val="00DF1835"/>
    <w:rsid w:val="00DF232C"/>
    <w:rsid w:val="00DF3827"/>
    <w:rsid w:val="00DF4EF0"/>
    <w:rsid w:val="00DF55D2"/>
    <w:rsid w:val="00E001C4"/>
    <w:rsid w:val="00E00245"/>
    <w:rsid w:val="00E030A0"/>
    <w:rsid w:val="00E03483"/>
    <w:rsid w:val="00E04792"/>
    <w:rsid w:val="00E05C21"/>
    <w:rsid w:val="00E0728A"/>
    <w:rsid w:val="00E07812"/>
    <w:rsid w:val="00E10E4C"/>
    <w:rsid w:val="00E130A4"/>
    <w:rsid w:val="00E14859"/>
    <w:rsid w:val="00E15262"/>
    <w:rsid w:val="00E164B1"/>
    <w:rsid w:val="00E16B3D"/>
    <w:rsid w:val="00E17513"/>
    <w:rsid w:val="00E176AA"/>
    <w:rsid w:val="00E20385"/>
    <w:rsid w:val="00E23638"/>
    <w:rsid w:val="00E24211"/>
    <w:rsid w:val="00E25058"/>
    <w:rsid w:val="00E250F3"/>
    <w:rsid w:val="00E27CA3"/>
    <w:rsid w:val="00E314D7"/>
    <w:rsid w:val="00E3175A"/>
    <w:rsid w:val="00E34192"/>
    <w:rsid w:val="00E36E77"/>
    <w:rsid w:val="00E37062"/>
    <w:rsid w:val="00E4046A"/>
    <w:rsid w:val="00E41148"/>
    <w:rsid w:val="00E41524"/>
    <w:rsid w:val="00E4217E"/>
    <w:rsid w:val="00E42471"/>
    <w:rsid w:val="00E425C8"/>
    <w:rsid w:val="00E46EF8"/>
    <w:rsid w:val="00E512A9"/>
    <w:rsid w:val="00E52F6B"/>
    <w:rsid w:val="00E57D8C"/>
    <w:rsid w:val="00E60871"/>
    <w:rsid w:val="00E62907"/>
    <w:rsid w:val="00E64374"/>
    <w:rsid w:val="00E66AB7"/>
    <w:rsid w:val="00E676A4"/>
    <w:rsid w:val="00E701DC"/>
    <w:rsid w:val="00E710E9"/>
    <w:rsid w:val="00E71856"/>
    <w:rsid w:val="00E727FE"/>
    <w:rsid w:val="00E73734"/>
    <w:rsid w:val="00E740E0"/>
    <w:rsid w:val="00E742E3"/>
    <w:rsid w:val="00E756ED"/>
    <w:rsid w:val="00E7633B"/>
    <w:rsid w:val="00E80144"/>
    <w:rsid w:val="00E9041A"/>
    <w:rsid w:val="00E924DA"/>
    <w:rsid w:val="00E92E17"/>
    <w:rsid w:val="00E933DA"/>
    <w:rsid w:val="00E938A8"/>
    <w:rsid w:val="00E95E1D"/>
    <w:rsid w:val="00E966B5"/>
    <w:rsid w:val="00EA0A9A"/>
    <w:rsid w:val="00EA0EC2"/>
    <w:rsid w:val="00EA3CD4"/>
    <w:rsid w:val="00EA5D02"/>
    <w:rsid w:val="00EA63B3"/>
    <w:rsid w:val="00EB12B2"/>
    <w:rsid w:val="00EB2718"/>
    <w:rsid w:val="00EB2B3E"/>
    <w:rsid w:val="00EB3463"/>
    <w:rsid w:val="00EB39FF"/>
    <w:rsid w:val="00EB5721"/>
    <w:rsid w:val="00EB5991"/>
    <w:rsid w:val="00EB6278"/>
    <w:rsid w:val="00EC0C97"/>
    <w:rsid w:val="00EC1BED"/>
    <w:rsid w:val="00EC2467"/>
    <w:rsid w:val="00EC37EB"/>
    <w:rsid w:val="00EC4DA1"/>
    <w:rsid w:val="00EC51EF"/>
    <w:rsid w:val="00EC737F"/>
    <w:rsid w:val="00ED01B4"/>
    <w:rsid w:val="00ED188F"/>
    <w:rsid w:val="00ED3A14"/>
    <w:rsid w:val="00ED3F32"/>
    <w:rsid w:val="00ED4562"/>
    <w:rsid w:val="00ED5294"/>
    <w:rsid w:val="00ED546B"/>
    <w:rsid w:val="00ED608D"/>
    <w:rsid w:val="00ED628B"/>
    <w:rsid w:val="00ED7E54"/>
    <w:rsid w:val="00EE106C"/>
    <w:rsid w:val="00EE1F38"/>
    <w:rsid w:val="00EE2482"/>
    <w:rsid w:val="00EE32BD"/>
    <w:rsid w:val="00EE45D1"/>
    <w:rsid w:val="00EF0372"/>
    <w:rsid w:val="00EF1A7E"/>
    <w:rsid w:val="00EF1CBE"/>
    <w:rsid w:val="00EF3CDD"/>
    <w:rsid w:val="00EF45CE"/>
    <w:rsid w:val="00EF52E6"/>
    <w:rsid w:val="00EF566E"/>
    <w:rsid w:val="00EF7497"/>
    <w:rsid w:val="00F00F8B"/>
    <w:rsid w:val="00F01049"/>
    <w:rsid w:val="00F0241B"/>
    <w:rsid w:val="00F0310F"/>
    <w:rsid w:val="00F036E6"/>
    <w:rsid w:val="00F06F61"/>
    <w:rsid w:val="00F1040B"/>
    <w:rsid w:val="00F12464"/>
    <w:rsid w:val="00F14957"/>
    <w:rsid w:val="00F15D6B"/>
    <w:rsid w:val="00F17DB9"/>
    <w:rsid w:val="00F207A5"/>
    <w:rsid w:val="00F20FA8"/>
    <w:rsid w:val="00F2684D"/>
    <w:rsid w:val="00F26C14"/>
    <w:rsid w:val="00F30AAD"/>
    <w:rsid w:val="00F32E6D"/>
    <w:rsid w:val="00F3334D"/>
    <w:rsid w:val="00F35417"/>
    <w:rsid w:val="00F41266"/>
    <w:rsid w:val="00F41A32"/>
    <w:rsid w:val="00F434F1"/>
    <w:rsid w:val="00F43EF7"/>
    <w:rsid w:val="00F44F96"/>
    <w:rsid w:val="00F46A91"/>
    <w:rsid w:val="00F476C8"/>
    <w:rsid w:val="00F507CC"/>
    <w:rsid w:val="00F5176C"/>
    <w:rsid w:val="00F51E56"/>
    <w:rsid w:val="00F54722"/>
    <w:rsid w:val="00F550A8"/>
    <w:rsid w:val="00F56C9F"/>
    <w:rsid w:val="00F56E6A"/>
    <w:rsid w:val="00F60841"/>
    <w:rsid w:val="00F63553"/>
    <w:rsid w:val="00F6527E"/>
    <w:rsid w:val="00F655F3"/>
    <w:rsid w:val="00F65D8D"/>
    <w:rsid w:val="00F6723F"/>
    <w:rsid w:val="00F6731F"/>
    <w:rsid w:val="00F676A6"/>
    <w:rsid w:val="00F67B1A"/>
    <w:rsid w:val="00F73122"/>
    <w:rsid w:val="00F73D87"/>
    <w:rsid w:val="00F744A3"/>
    <w:rsid w:val="00F74508"/>
    <w:rsid w:val="00F74834"/>
    <w:rsid w:val="00F75679"/>
    <w:rsid w:val="00F76605"/>
    <w:rsid w:val="00F77EAF"/>
    <w:rsid w:val="00F810FD"/>
    <w:rsid w:val="00F822FA"/>
    <w:rsid w:val="00F8327A"/>
    <w:rsid w:val="00F9005F"/>
    <w:rsid w:val="00F905CA"/>
    <w:rsid w:val="00F90D04"/>
    <w:rsid w:val="00F92C22"/>
    <w:rsid w:val="00F92ED4"/>
    <w:rsid w:val="00F93466"/>
    <w:rsid w:val="00F968D0"/>
    <w:rsid w:val="00FA0372"/>
    <w:rsid w:val="00FA097E"/>
    <w:rsid w:val="00FA393F"/>
    <w:rsid w:val="00FA3DB1"/>
    <w:rsid w:val="00FA539F"/>
    <w:rsid w:val="00FA5B7C"/>
    <w:rsid w:val="00FA5EFA"/>
    <w:rsid w:val="00FA6B4A"/>
    <w:rsid w:val="00FA7BE9"/>
    <w:rsid w:val="00FB1A1C"/>
    <w:rsid w:val="00FB32E7"/>
    <w:rsid w:val="00FB5ADA"/>
    <w:rsid w:val="00FC0A61"/>
    <w:rsid w:val="00FC3BE8"/>
    <w:rsid w:val="00FC4364"/>
    <w:rsid w:val="00FC5E7F"/>
    <w:rsid w:val="00FC7F46"/>
    <w:rsid w:val="00FD7D46"/>
    <w:rsid w:val="00FF4CF3"/>
    <w:rsid w:val="00FF537D"/>
    <w:rsid w:val="00FF55C1"/>
    <w:rsid w:val="01274F14"/>
    <w:rsid w:val="01303A9E"/>
    <w:rsid w:val="01371C15"/>
    <w:rsid w:val="01383FD0"/>
    <w:rsid w:val="01451617"/>
    <w:rsid w:val="0190158D"/>
    <w:rsid w:val="01B10594"/>
    <w:rsid w:val="01B77047"/>
    <w:rsid w:val="01D47292"/>
    <w:rsid w:val="0203063D"/>
    <w:rsid w:val="02043122"/>
    <w:rsid w:val="02055635"/>
    <w:rsid w:val="021D14BB"/>
    <w:rsid w:val="02346456"/>
    <w:rsid w:val="024E269D"/>
    <w:rsid w:val="02685279"/>
    <w:rsid w:val="026C4FD1"/>
    <w:rsid w:val="02916327"/>
    <w:rsid w:val="029F57DD"/>
    <w:rsid w:val="02BA4887"/>
    <w:rsid w:val="02D2459A"/>
    <w:rsid w:val="02D738A3"/>
    <w:rsid w:val="02EB37DD"/>
    <w:rsid w:val="03093CAB"/>
    <w:rsid w:val="034464B8"/>
    <w:rsid w:val="036576B8"/>
    <w:rsid w:val="039B3411"/>
    <w:rsid w:val="03C1157F"/>
    <w:rsid w:val="03C71EFB"/>
    <w:rsid w:val="03CB3B35"/>
    <w:rsid w:val="03D01F77"/>
    <w:rsid w:val="03D735B0"/>
    <w:rsid w:val="03FA6CDF"/>
    <w:rsid w:val="04365FFA"/>
    <w:rsid w:val="04494A43"/>
    <w:rsid w:val="046C0356"/>
    <w:rsid w:val="046D244C"/>
    <w:rsid w:val="046F1BE2"/>
    <w:rsid w:val="04822D08"/>
    <w:rsid w:val="04B74E45"/>
    <w:rsid w:val="04C851F1"/>
    <w:rsid w:val="04DA0A29"/>
    <w:rsid w:val="04FB048C"/>
    <w:rsid w:val="05140AB9"/>
    <w:rsid w:val="052C29BF"/>
    <w:rsid w:val="05337A63"/>
    <w:rsid w:val="055C5785"/>
    <w:rsid w:val="05994427"/>
    <w:rsid w:val="05BD5BD1"/>
    <w:rsid w:val="05CF395D"/>
    <w:rsid w:val="05F06637"/>
    <w:rsid w:val="0605445A"/>
    <w:rsid w:val="06517EE9"/>
    <w:rsid w:val="06672355"/>
    <w:rsid w:val="06BE41E6"/>
    <w:rsid w:val="06C55EEB"/>
    <w:rsid w:val="07004918"/>
    <w:rsid w:val="070B6221"/>
    <w:rsid w:val="070C0852"/>
    <w:rsid w:val="073D5377"/>
    <w:rsid w:val="075E2DBC"/>
    <w:rsid w:val="07654B87"/>
    <w:rsid w:val="07BA720E"/>
    <w:rsid w:val="07CB7156"/>
    <w:rsid w:val="07DD2CBE"/>
    <w:rsid w:val="07E13B30"/>
    <w:rsid w:val="07EE2CA7"/>
    <w:rsid w:val="080C3671"/>
    <w:rsid w:val="081F2D4C"/>
    <w:rsid w:val="084E2ACF"/>
    <w:rsid w:val="084F19C0"/>
    <w:rsid w:val="08635040"/>
    <w:rsid w:val="08B2562B"/>
    <w:rsid w:val="08B5584D"/>
    <w:rsid w:val="08DC3FD5"/>
    <w:rsid w:val="08EA502F"/>
    <w:rsid w:val="09190838"/>
    <w:rsid w:val="09274740"/>
    <w:rsid w:val="095C7B83"/>
    <w:rsid w:val="098F731B"/>
    <w:rsid w:val="0996625D"/>
    <w:rsid w:val="09DE2A70"/>
    <w:rsid w:val="0A1F4EA7"/>
    <w:rsid w:val="0A6872D6"/>
    <w:rsid w:val="0ABF0DA2"/>
    <w:rsid w:val="0ACE0B6C"/>
    <w:rsid w:val="0AE57F7F"/>
    <w:rsid w:val="0AEE6792"/>
    <w:rsid w:val="0BE64801"/>
    <w:rsid w:val="0C413A10"/>
    <w:rsid w:val="0C7965AF"/>
    <w:rsid w:val="0C8E3524"/>
    <w:rsid w:val="0C95751F"/>
    <w:rsid w:val="0CAF6938"/>
    <w:rsid w:val="0CD6654D"/>
    <w:rsid w:val="0CDA3C0B"/>
    <w:rsid w:val="0CE85B65"/>
    <w:rsid w:val="0D540907"/>
    <w:rsid w:val="0D63355E"/>
    <w:rsid w:val="0D6402AD"/>
    <w:rsid w:val="0D6E00F5"/>
    <w:rsid w:val="0D74780D"/>
    <w:rsid w:val="0D7F6C2B"/>
    <w:rsid w:val="0DDE1633"/>
    <w:rsid w:val="0DE27351"/>
    <w:rsid w:val="0E133FA6"/>
    <w:rsid w:val="0E195228"/>
    <w:rsid w:val="0E2217A8"/>
    <w:rsid w:val="0E5869D1"/>
    <w:rsid w:val="0E925E78"/>
    <w:rsid w:val="0E9F7BFE"/>
    <w:rsid w:val="0EA20C5D"/>
    <w:rsid w:val="0EA54211"/>
    <w:rsid w:val="0EB36468"/>
    <w:rsid w:val="0EDB759D"/>
    <w:rsid w:val="0EF445E2"/>
    <w:rsid w:val="0F361774"/>
    <w:rsid w:val="0F3B7D92"/>
    <w:rsid w:val="0F66630C"/>
    <w:rsid w:val="0FA100B6"/>
    <w:rsid w:val="0FCB5DCA"/>
    <w:rsid w:val="0FF10449"/>
    <w:rsid w:val="10485433"/>
    <w:rsid w:val="104C2911"/>
    <w:rsid w:val="107B6F12"/>
    <w:rsid w:val="1117568C"/>
    <w:rsid w:val="11536B10"/>
    <w:rsid w:val="11604A5C"/>
    <w:rsid w:val="1176169D"/>
    <w:rsid w:val="117C68E7"/>
    <w:rsid w:val="117F775D"/>
    <w:rsid w:val="118263A1"/>
    <w:rsid w:val="119603EC"/>
    <w:rsid w:val="11A331FA"/>
    <w:rsid w:val="11FD780F"/>
    <w:rsid w:val="120038A1"/>
    <w:rsid w:val="124D4083"/>
    <w:rsid w:val="12701BF6"/>
    <w:rsid w:val="1290435F"/>
    <w:rsid w:val="12DE47E6"/>
    <w:rsid w:val="12E50430"/>
    <w:rsid w:val="12F639E2"/>
    <w:rsid w:val="130855B9"/>
    <w:rsid w:val="133612ED"/>
    <w:rsid w:val="133D1517"/>
    <w:rsid w:val="136532E8"/>
    <w:rsid w:val="139C09D1"/>
    <w:rsid w:val="13AF6952"/>
    <w:rsid w:val="13CC1FE7"/>
    <w:rsid w:val="13D21B4C"/>
    <w:rsid w:val="14C02D74"/>
    <w:rsid w:val="14D251DA"/>
    <w:rsid w:val="14DD340D"/>
    <w:rsid w:val="14E05FAD"/>
    <w:rsid w:val="152764B7"/>
    <w:rsid w:val="153F673C"/>
    <w:rsid w:val="155913AC"/>
    <w:rsid w:val="156001F5"/>
    <w:rsid w:val="157E7401"/>
    <w:rsid w:val="1614567C"/>
    <w:rsid w:val="16271ECD"/>
    <w:rsid w:val="16A76302"/>
    <w:rsid w:val="16C521B5"/>
    <w:rsid w:val="16F3593D"/>
    <w:rsid w:val="16F60411"/>
    <w:rsid w:val="16FB18E9"/>
    <w:rsid w:val="172C0E92"/>
    <w:rsid w:val="173A3666"/>
    <w:rsid w:val="17405D8B"/>
    <w:rsid w:val="17482177"/>
    <w:rsid w:val="17870C00"/>
    <w:rsid w:val="17DF684D"/>
    <w:rsid w:val="17F31E94"/>
    <w:rsid w:val="181736F0"/>
    <w:rsid w:val="18301873"/>
    <w:rsid w:val="185D59F5"/>
    <w:rsid w:val="18652B97"/>
    <w:rsid w:val="18D24826"/>
    <w:rsid w:val="190E2A9B"/>
    <w:rsid w:val="191E31F8"/>
    <w:rsid w:val="1930763A"/>
    <w:rsid w:val="193564B7"/>
    <w:rsid w:val="195902EB"/>
    <w:rsid w:val="198F35F7"/>
    <w:rsid w:val="199667D2"/>
    <w:rsid w:val="19A61286"/>
    <w:rsid w:val="19C63AD7"/>
    <w:rsid w:val="19E94399"/>
    <w:rsid w:val="19EC5D5F"/>
    <w:rsid w:val="19EF6331"/>
    <w:rsid w:val="1A0D5537"/>
    <w:rsid w:val="1A270BAD"/>
    <w:rsid w:val="1A3D7707"/>
    <w:rsid w:val="1A7868CC"/>
    <w:rsid w:val="1AA40BC5"/>
    <w:rsid w:val="1AA52927"/>
    <w:rsid w:val="1AAF732F"/>
    <w:rsid w:val="1AFC093E"/>
    <w:rsid w:val="1B751D18"/>
    <w:rsid w:val="1B837689"/>
    <w:rsid w:val="1BA35581"/>
    <w:rsid w:val="1BBC1B6B"/>
    <w:rsid w:val="1BC27D98"/>
    <w:rsid w:val="1BE54206"/>
    <w:rsid w:val="1C1224F7"/>
    <w:rsid w:val="1C215860"/>
    <w:rsid w:val="1C3B088A"/>
    <w:rsid w:val="1C841734"/>
    <w:rsid w:val="1CBB088F"/>
    <w:rsid w:val="1CD120FF"/>
    <w:rsid w:val="1CDC4D20"/>
    <w:rsid w:val="1CDF6B41"/>
    <w:rsid w:val="1D2C2003"/>
    <w:rsid w:val="1D2F3F5E"/>
    <w:rsid w:val="1D52110B"/>
    <w:rsid w:val="1D6920D8"/>
    <w:rsid w:val="1D955C17"/>
    <w:rsid w:val="1DC50F72"/>
    <w:rsid w:val="1DD22C2E"/>
    <w:rsid w:val="1DF127C5"/>
    <w:rsid w:val="1EA43D4B"/>
    <w:rsid w:val="1EB55847"/>
    <w:rsid w:val="1ECB6CF3"/>
    <w:rsid w:val="1ED63936"/>
    <w:rsid w:val="1ED8671A"/>
    <w:rsid w:val="1EE82E44"/>
    <w:rsid w:val="1F095BCD"/>
    <w:rsid w:val="1F324176"/>
    <w:rsid w:val="1F3839D1"/>
    <w:rsid w:val="1FB35C2A"/>
    <w:rsid w:val="1FB7392F"/>
    <w:rsid w:val="1FC843CF"/>
    <w:rsid w:val="1FDB0E74"/>
    <w:rsid w:val="200A7C06"/>
    <w:rsid w:val="20143EA9"/>
    <w:rsid w:val="20443B05"/>
    <w:rsid w:val="20497839"/>
    <w:rsid w:val="205325C3"/>
    <w:rsid w:val="20540405"/>
    <w:rsid w:val="20AB7349"/>
    <w:rsid w:val="20B11C5C"/>
    <w:rsid w:val="20BE2EDB"/>
    <w:rsid w:val="20DC1B4D"/>
    <w:rsid w:val="20E75FEA"/>
    <w:rsid w:val="21386BBD"/>
    <w:rsid w:val="219A49A8"/>
    <w:rsid w:val="21BE7C5E"/>
    <w:rsid w:val="21CA74E9"/>
    <w:rsid w:val="21DE261D"/>
    <w:rsid w:val="21E54A6A"/>
    <w:rsid w:val="21EC2BAB"/>
    <w:rsid w:val="21F22C88"/>
    <w:rsid w:val="22050A5A"/>
    <w:rsid w:val="221F410B"/>
    <w:rsid w:val="223F0805"/>
    <w:rsid w:val="227B1864"/>
    <w:rsid w:val="22A60EB5"/>
    <w:rsid w:val="22AD47A1"/>
    <w:rsid w:val="22D23494"/>
    <w:rsid w:val="22D81D21"/>
    <w:rsid w:val="230F0A4B"/>
    <w:rsid w:val="2316369E"/>
    <w:rsid w:val="23165F69"/>
    <w:rsid w:val="238263F4"/>
    <w:rsid w:val="23A7421A"/>
    <w:rsid w:val="23AF4937"/>
    <w:rsid w:val="24011960"/>
    <w:rsid w:val="2403579C"/>
    <w:rsid w:val="24054A11"/>
    <w:rsid w:val="241137D9"/>
    <w:rsid w:val="241F2D91"/>
    <w:rsid w:val="24213779"/>
    <w:rsid w:val="243004B4"/>
    <w:rsid w:val="245A05CA"/>
    <w:rsid w:val="24B66F7B"/>
    <w:rsid w:val="24B95CB1"/>
    <w:rsid w:val="25101C98"/>
    <w:rsid w:val="25197286"/>
    <w:rsid w:val="25333CE6"/>
    <w:rsid w:val="253759E6"/>
    <w:rsid w:val="2549427F"/>
    <w:rsid w:val="25971BFA"/>
    <w:rsid w:val="25974A42"/>
    <w:rsid w:val="25E037D0"/>
    <w:rsid w:val="25E21071"/>
    <w:rsid w:val="25F20E6F"/>
    <w:rsid w:val="262808E1"/>
    <w:rsid w:val="26767663"/>
    <w:rsid w:val="267D5E31"/>
    <w:rsid w:val="268C368D"/>
    <w:rsid w:val="26B92AA7"/>
    <w:rsid w:val="26C84F0B"/>
    <w:rsid w:val="26EE1123"/>
    <w:rsid w:val="27251824"/>
    <w:rsid w:val="2734087F"/>
    <w:rsid w:val="273F2C97"/>
    <w:rsid w:val="27577C63"/>
    <w:rsid w:val="276A2C01"/>
    <w:rsid w:val="276F2C9F"/>
    <w:rsid w:val="277F4EC2"/>
    <w:rsid w:val="279F2C36"/>
    <w:rsid w:val="280765CC"/>
    <w:rsid w:val="28453812"/>
    <w:rsid w:val="28B270ED"/>
    <w:rsid w:val="28EC1885"/>
    <w:rsid w:val="29056374"/>
    <w:rsid w:val="29212C84"/>
    <w:rsid w:val="2933177B"/>
    <w:rsid w:val="2974095E"/>
    <w:rsid w:val="297A4E27"/>
    <w:rsid w:val="2990151A"/>
    <w:rsid w:val="29927401"/>
    <w:rsid w:val="299B6946"/>
    <w:rsid w:val="29B72D5D"/>
    <w:rsid w:val="29C04EC5"/>
    <w:rsid w:val="29D04E30"/>
    <w:rsid w:val="29D05C89"/>
    <w:rsid w:val="29DE1E4D"/>
    <w:rsid w:val="29E45A39"/>
    <w:rsid w:val="29F8414A"/>
    <w:rsid w:val="2A0A7696"/>
    <w:rsid w:val="2A0D0F0C"/>
    <w:rsid w:val="2A176C00"/>
    <w:rsid w:val="2A6B1D80"/>
    <w:rsid w:val="2A9152D8"/>
    <w:rsid w:val="2A9361B7"/>
    <w:rsid w:val="2ABE485F"/>
    <w:rsid w:val="2ADB6EB7"/>
    <w:rsid w:val="2AF63BC4"/>
    <w:rsid w:val="2AFB54C5"/>
    <w:rsid w:val="2B055F8A"/>
    <w:rsid w:val="2B0C03A4"/>
    <w:rsid w:val="2B200651"/>
    <w:rsid w:val="2B366A9C"/>
    <w:rsid w:val="2B3841A3"/>
    <w:rsid w:val="2B5533FF"/>
    <w:rsid w:val="2B6F658C"/>
    <w:rsid w:val="2B984EBF"/>
    <w:rsid w:val="2C24329E"/>
    <w:rsid w:val="2C4D32D2"/>
    <w:rsid w:val="2C757456"/>
    <w:rsid w:val="2D2C14B2"/>
    <w:rsid w:val="2D511017"/>
    <w:rsid w:val="2D6A2633"/>
    <w:rsid w:val="2DA67B66"/>
    <w:rsid w:val="2DF53CD5"/>
    <w:rsid w:val="2DFD7CDE"/>
    <w:rsid w:val="2E081BC5"/>
    <w:rsid w:val="2E4F1AC3"/>
    <w:rsid w:val="2E630CFC"/>
    <w:rsid w:val="2E8818C4"/>
    <w:rsid w:val="2E922D73"/>
    <w:rsid w:val="2EBA1864"/>
    <w:rsid w:val="2EF22E53"/>
    <w:rsid w:val="2F0A6734"/>
    <w:rsid w:val="2F3D79D9"/>
    <w:rsid w:val="2F4219B8"/>
    <w:rsid w:val="2F520F27"/>
    <w:rsid w:val="2FA37B1F"/>
    <w:rsid w:val="2FC36919"/>
    <w:rsid w:val="2FC935F5"/>
    <w:rsid w:val="2FF015B7"/>
    <w:rsid w:val="30007053"/>
    <w:rsid w:val="3019494D"/>
    <w:rsid w:val="302F5F5A"/>
    <w:rsid w:val="305C6B22"/>
    <w:rsid w:val="30D50139"/>
    <w:rsid w:val="30DC39E3"/>
    <w:rsid w:val="30E74DA6"/>
    <w:rsid w:val="30EC34E0"/>
    <w:rsid w:val="31034DAD"/>
    <w:rsid w:val="310569C5"/>
    <w:rsid w:val="31073E1B"/>
    <w:rsid w:val="31172A76"/>
    <w:rsid w:val="313B4967"/>
    <w:rsid w:val="31687C82"/>
    <w:rsid w:val="31711248"/>
    <w:rsid w:val="31841167"/>
    <w:rsid w:val="31962F66"/>
    <w:rsid w:val="31CA7A2C"/>
    <w:rsid w:val="321B3FBC"/>
    <w:rsid w:val="32484C4E"/>
    <w:rsid w:val="32605D06"/>
    <w:rsid w:val="3268669D"/>
    <w:rsid w:val="327B4598"/>
    <w:rsid w:val="32D22945"/>
    <w:rsid w:val="32E90B44"/>
    <w:rsid w:val="332D5B09"/>
    <w:rsid w:val="334F183A"/>
    <w:rsid w:val="337136CD"/>
    <w:rsid w:val="33A43C30"/>
    <w:rsid w:val="33CE2C57"/>
    <w:rsid w:val="33DE6B77"/>
    <w:rsid w:val="33EC512B"/>
    <w:rsid w:val="34084B56"/>
    <w:rsid w:val="341C101E"/>
    <w:rsid w:val="346F43F1"/>
    <w:rsid w:val="347D281C"/>
    <w:rsid w:val="34AD3E0C"/>
    <w:rsid w:val="35441A8C"/>
    <w:rsid w:val="355A3D41"/>
    <w:rsid w:val="35691819"/>
    <w:rsid w:val="356E22DF"/>
    <w:rsid w:val="35A90671"/>
    <w:rsid w:val="35B55342"/>
    <w:rsid w:val="35B771BD"/>
    <w:rsid w:val="361A47EC"/>
    <w:rsid w:val="363E4C54"/>
    <w:rsid w:val="364D7488"/>
    <w:rsid w:val="366018F2"/>
    <w:rsid w:val="36741E16"/>
    <w:rsid w:val="36820D01"/>
    <w:rsid w:val="36BB3867"/>
    <w:rsid w:val="36D654B6"/>
    <w:rsid w:val="36DB7437"/>
    <w:rsid w:val="36DD32BF"/>
    <w:rsid w:val="36F061F6"/>
    <w:rsid w:val="36F4501D"/>
    <w:rsid w:val="370C7272"/>
    <w:rsid w:val="371E4419"/>
    <w:rsid w:val="372F21F8"/>
    <w:rsid w:val="37450A23"/>
    <w:rsid w:val="37482467"/>
    <w:rsid w:val="375A10AE"/>
    <w:rsid w:val="375F18CE"/>
    <w:rsid w:val="376D3A14"/>
    <w:rsid w:val="377543D4"/>
    <w:rsid w:val="379E050A"/>
    <w:rsid w:val="37A227C0"/>
    <w:rsid w:val="37CE64E6"/>
    <w:rsid w:val="37FE1083"/>
    <w:rsid w:val="380A70E0"/>
    <w:rsid w:val="38112289"/>
    <w:rsid w:val="381439C0"/>
    <w:rsid w:val="382C54C9"/>
    <w:rsid w:val="383E466C"/>
    <w:rsid w:val="386B4E07"/>
    <w:rsid w:val="388B689C"/>
    <w:rsid w:val="389567FE"/>
    <w:rsid w:val="389B0595"/>
    <w:rsid w:val="38A47140"/>
    <w:rsid w:val="38C61181"/>
    <w:rsid w:val="38CB5333"/>
    <w:rsid w:val="38F80946"/>
    <w:rsid w:val="39197560"/>
    <w:rsid w:val="39792D8B"/>
    <w:rsid w:val="39875A90"/>
    <w:rsid w:val="398D4DD4"/>
    <w:rsid w:val="39A53523"/>
    <w:rsid w:val="39A75360"/>
    <w:rsid w:val="39AA5533"/>
    <w:rsid w:val="39C661B5"/>
    <w:rsid w:val="39D06816"/>
    <w:rsid w:val="3A1A0FD7"/>
    <w:rsid w:val="3A1E7F36"/>
    <w:rsid w:val="3A4D391B"/>
    <w:rsid w:val="3A6570A1"/>
    <w:rsid w:val="3A715723"/>
    <w:rsid w:val="3A883352"/>
    <w:rsid w:val="3A98285C"/>
    <w:rsid w:val="3A9D4CDC"/>
    <w:rsid w:val="3AAA3DD3"/>
    <w:rsid w:val="3AAC37D2"/>
    <w:rsid w:val="3AB16AFD"/>
    <w:rsid w:val="3ABD3CF2"/>
    <w:rsid w:val="3AC75382"/>
    <w:rsid w:val="3AD23706"/>
    <w:rsid w:val="3AD54D74"/>
    <w:rsid w:val="3ADF1772"/>
    <w:rsid w:val="3AE83617"/>
    <w:rsid w:val="3B0A451D"/>
    <w:rsid w:val="3BF12A86"/>
    <w:rsid w:val="3C3805E4"/>
    <w:rsid w:val="3D056DE5"/>
    <w:rsid w:val="3D150381"/>
    <w:rsid w:val="3D242DC0"/>
    <w:rsid w:val="3D3357D0"/>
    <w:rsid w:val="3D444D9B"/>
    <w:rsid w:val="3D603B0C"/>
    <w:rsid w:val="3D9A53D2"/>
    <w:rsid w:val="3D9E2DAE"/>
    <w:rsid w:val="3DA82763"/>
    <w:rsid w:val="3DB71261"/>
    <w:rsid w:val="3E4B3711"/>
    <w:rsid w:val="3EAB60E2"/>
    <w:rsid w:val="3EB24A80"/>
    <w:rsid w:val="3EF344A0"/>
    <w:rsid w:val="3F0C5499"/>
    <w:rsid w:val="3F266B61"/>
    <w:rsid w:val="3F27052D"/>
    <w:rsid w:val="3F271710"/>
    <w:rsid w:val="3F564F2E"/>
    <w:rsid w:val="3F5A618E"/>
    <w:rsid w:val="3FA24FD3"/>
    <w:rsid w:val="3FF62CB9"/>
    <w:rsid w:val="403C0BE5"/>
    <w:rsid w:val="404E7F56"/>
    <w:rsid w:val="406538E2"/>
    <w:rsid w:val="40BA1A5B"/>
    <w:rsid w:val="40C1354A"/>
    <w:rsid w:val="40E6513A"/>
    <w:rsid w:val="41277CAD"/>
    <w:rsid w:val="415415D9"/>
    <w:rsid w:val="417254CB"/>
    <w:rsid w:val="4178276D"/>
    <w:rsid w:val="418A329E"/>
    <w:rsid w:val="41DE7B28"/>
    <w:rsid w:val="42122E0A"/>
    <w:rsid w:val="421C406A"/>
    <w:rsid w:val="421C69ED"/>
    <w:rsid w:val="423D3A47"/>
    <w:rsid w:val="423F7E57"/>
    <w:rsid w:val="42643AB6"/>
    <w:rsid w:val="428B61F9"/>
    <w:rsid w:val="42921C04"/>
    <w:rsid w:val="42DA32D0"/>
    <w:rsid w:val="42F13672"/>
    <w:rsid w:val="42FC2482"/>
    <w:rsid w:val="433112AC"/>
    <w:rsid w:val="434E0C0A"/>
    <w:rsid w:val="438D6152"/>
    <w:rsid w:val="43A96596"/>
    <w:rsid w:val="43C54EEF"/>
    <w:rsid w:val="443B1E1A"/>
    <w:rsid w:val="44647509"/>
    <w:rsid w:val="447B0E62"/>
    <w:rsid w:val="44824F4E"/>
    <w:rsid w:val="449A0FC3"/>
    <w:rsid w:val="44A17A7E"/>
    <w:rsid w:val="44DE5380"/>
    <w:rsid w:val="44EE06E7"/>
    <w:rsid w:val="44FD341A"/>
    <w:rsid w:val="451D104C"/>
    <w:rsid w:val="453C2484"/>
    <w:rsid w:val="453D6989"/>
    <w:rsid w:val="454B5BFF"/>
    <w:rsid w:val="454F1AA1"/>
    <w:rsid w:val="457C2700"/>
    <w:rsid w:val="45A45B97"/>
    <w:rsid w:val="45BA70B1"/>
    <w:rsid w:val="45EA2CE8"/>
    <w:rsid w:val="45F74EDF"/>
    <w:rsid w:val="4600059B"/>
    <w:rsid w:val="4601718F"/>
    <w:rsid w:val="461818D0"/>
    <w:rsid w:val="462D006C"/>
    <w:rsid w:val="46350AC6"/>
    <w:rsid w:val="46444F36"/>
    <w:rsid w:val="46565007"/>
    <w:rsid w:val="46762442"/>
    <w:rsid w:val="46AB5174"/>
    <w:rsid w:val="46B700F8"/>
    <w:rsid w:val="46BB04BA"/>
    <w:rsid w:val="46BB44BC"/>
    <w:rsid w:val="47131FCF"/>
    <w:rsid w:val="471D6532"/>
    <w:rsid w:val="473946A4"/>
    <w:rsid w:val="47510996"/>
    <w:rsid w:val="47570AD2"/>
    <w:rsid w:val="47580314"/>
    <w:rsid w:val="476726EC"/>
    <w:rsid w:val="477132E0"/>
    <w:rsid w:val="47F21740"/>
    <w:rsid w:val="47F24947"/>
    <w:rsid w:val="4804144A"/>
    <w:rsid w:val="4811419D"/>
    <w:rsid w:val="48460E87"/>
    <w:rsid w:val="486A7361"/>
    <w:rsid w:val="48C05E0B"/>
    <w:rsid w:val="48C75671"/>
    <w:rsid w:val="48C93CA5"/>
    <w:rsid w:val="49043FAA"/>
    <w:rsid w:val="490671E3"/>
    <w:rsid w:val="490E1280"/>
    <w:rsid w:val="4922407A"/>
    <w:rsid w:val="492C50AE"/>
    <w:rsid w:val="49455406"/>
    <w:rsid w:val="497B7D9F"/>
    <w:rsid w:val="498E6CD6"/>
    <w:rsid w:val="499C042D"/>
    <w:rsid w:val="49BD25AC"/>
    <w:rsid w:val="49C93F25"/>
    <w:rsid w:val="49D14B65"/>
    <w:rsid w:val="4A356A70"/>
    <w:rsid w:val="4A705EE3"/>
    <w:rsid w:val="4A765F57"/>
    <w:rsid w:val="4A801D75"/>
    <w:rsid w:val="4A803067"/>
    <w:rsid w:val="4A9B7E42"/>
    <w:rsid w:val="4AB74840"/>
    <w:rsid w:val="4AD728D0"/>
    <w:rsid w:val="4ADF597A"/>
    <w:rsid w:val="4AE30D8B"/>
    <w:rsid w:val="4AE435DD"/>
    <w:rsid w:val="4B2D7D43"/>
    <w:rsid w:val="4B3423C3"/>
    <w:rsid w:val="4B4B074F"/>
    <w:rsid w:val="4B91508D"/>
    <w:rsid w:val="4B982FB8"/>
    <w:rsid w:val="4C436FEA"/>
    <w:rsid w:val="4C437B4B"/>
    <w:rsid w:val="4C450FB8"/>
    <w:rsid w:val="4C490E3B"/>
    <w:rsid w:val="4C620ECA"/>
    <w:rsid w:val="4C747E14"/>
    <w:rsid w:val="4C7A7C24"/>
    <w:rsid w:val="4CA84AAD"/>
    <w:rsid w:val="4CAC0E3F"/>
    <w:rsid w:val="4D11734C"/>
    <w:rsid w:val="4D1D1FC4"/>
    <w:rsid w:val="4D2B53D3"/>
    <w:rsid w:val="4D6566C5"/>
    <w:rsid w:val="4D807BBE"/>
    <w:rsid w:val="4D82577A"/>
    <w:rsid w:val="4DD92163"/>
    <w:rsid w:val="4DEA0304"/>
    <w:rsid w:val="4E01515D"/>
    <w:rsid w:val="4E405991"/>
    <w:rsid w:val="4E574CEE"/>
    <w:rsid w:val="4E644A95"/>
    <w:rsid w:val="4E656BC0"/>
    <w:rsid w:val="4E65774D"/>
    <w:rsid w:val="4E733AD0"/>
    <w:rsid w:val="4EB761A4"/>
    <w:rsid w:val="4EB81A53"/>
    <w:rsid w:val="4EFD61BB"/>
    <w:rsid w:val="4F0023CD"/>
    <w:rsid w:val="4F056DE1"/>
    <w:rsid w:val="4F1503F5"/>
    <w:rsid w:val="4F19757E"/>
    <w:rsid w:val="4F223D03"/>
    <w:rsid w:val="4F804961"/>
    <w:rsid w:val="4FBA158C"/>
    <w:rsid w:val="4FC869E6"/>
    <w:rsid w:val="4FCB101C"/>
    <w:rsid w:val="4FEA6667"/>
    <w:rsid w:val="4FF22CC7"/>
    <w:rsid w:val="501927B6"/>
    <w:rsid w:val="504C1550"/>
    <w:rsid w:val="50602A1B"/>
    <w:rsid w:val="50612797"/>
    <w:rsid w:val="508012C5"/>
    <w:rsid w:val="508D0C8F"/>
    <w:rsid w:val="50AF56A8"/>
    <w:rsid w:val="50BB53A5"/>
    <w:rsid w:val="50C07CFF"/>
    <w:rsid w:val="50E70B9B"/>
    <w:rsid w:val="50FB1272"/>
    <w:rsid w:val="51174AAA"/>
    <w:rsid w:val="51441EA0"/>
    <w:rsid w:val="51C54E50"/>
    <w:rsid w:val="51C60647"/>
    <w:rsid w:val="51DE290C"/>
    <w:rsid w:val="51E40954"/>
    <w:rsid w:val="51F34C81"/>
    <w:rsid w:val="521356D1"/>
    <w:rsid w:val="52344790"/>
    <w:rsid w:val="52494AC3"/>
    <w:rsid w:val="525C1589"/>
    <w:rsid w:val="5261088D"/>
    <w:rsid w:val="52853569"/>
    <w:rsid w:val="529161F4"/>
    <w:rsid w:val="52B14270"/>
    <w:rsid w:val="530E392B"/>
    <w:rsid w:val="533521CD"/>
    <w:rsid w:val="53494392"/>
    <w:rsid w:val="535809C3"/>
    <w:rsid w:val="540E0C70"/>
    <w:rsid w:val="547B4505"/>
    <w:rsid w:val="548E6390"/>
    <w:rsid w:val="549A30CD"/>
    <w:rsid w:val="54A0008E"/>
    <w:rsid w:val="54C51393"/>
    <w:rsid w:val="54D9333A"/>
    <w:rsid w:val="54ED6EEB"/>
    <w:rsid w:val="55107489"/>
    <w:rsid w:val="55357959"/>
    <w:rsid w:val="553810A9"/>
    <w:rsid w:val="555866AD"/>
    <w:rsid w:val="555A6CF3"/>
    <w:rsid w:val="55966BD2"/>
    <w:rsid w:val="56584454"/>
    <w:rsid w:val="56973D5D"/>
    <w:rsid w:val="56B23CA6"/>
    <w:rsid w:val="56E34FD3"/>
    <w:rsid w:val="573072C4"/>
    <w:rsid w:val="57471187"/>
    <w:rsid w:val="576F023D"/>
    <w:rsid w:val="576F4FAD"/>
    <w:rsid w:val="577B6EE4"/>
    <w:rsid w:val="57AC5A21"/>
    <w:rsid w:val="57D2146B"/>
    <w:rsid w:val="57E72385"/>
    <w:rsid w:val="57EF1F3E"/>
    <w:rsid w:val="58120D81"/>
    <w:rsid w:val="581C0CA5"/>
    <w:rsid w:val="584E2F27"/>
    <w:rsid w:val="5886355F"/>
    <w:rsid w:val="58891F15"/>
    <w:rsid w:val="58A35601"/>
    <w:rsid w:val="58FF0F72"/>
    <w:rsid w:val="591C62AA"/>
    <w:rsid w:val="593C1AF7"/>
    <w:rsid w:val="59451C35"/>
    <w:rsid w:val="594F2B99"/>
    <w:rsid w:val="59DD23FD"/>
    <w:rsid w:val="59E24A9F"/>
    <w:rsid w:val="5A442C38"/>
    <w:rsid w:val="5A737CDB"/>
    <w:rsid w:val="5AC4179D"/>
    <w:rsid w:val="5B761405"/>
    <w:rsid w:val="5BED7197"/>
    <w:rsid w:val="5BF8521E"/>
    <w:rsid w:val="5BFB6E5B"/>
    <w:rsid w:val="5C1B1303"/>
    <w:rsid w:val="5C202048"/>
    <w:rsid w:val="5C241BA9"/>
    <w:rsid w:val="5C2453F7"/>
    <w:rsid w:val="5C4D09E5"/>
    <w:rsid w:val="5C502BEC"/>
    <w:rsid w:val="5C745F16"/>
    <w:rsid w:val="5C86016C"/>
    <w:rsid w:val="5C8E357B"/>
    <w:rsid w:val="5CF26FEF"/>
    <w:rsid w:val="5D0852CE"/>
    <w:rsid w:val="5D16385F"/>
    <w:rsid w:val="5D2928D3"/>
    <w:rsid w:val="5D502207"/>
    <w:rsid w:val="5D723140"/>
    <w:rsid w:val="5DBD180F"/>
    <w:rsid w:val="5DC4184E"/>
    <w:rsid w:val="5DE75DAB"/>
    <w:rsid w:val="5DE8326C"/>
    <w:rsid w:val="5E0369A2"/>
    <w:rsid w:val="5E1C522E"/>
    <w:rsid w:val="5E3B5015"/>
    <w:rsid w:val="5E87543F"/>
    <w:rsid w:val="5E92385E"/>
    <w:rsid w:val="5ECD71E6"/>
    <w:rsid w:val="5ECF201B"/>
    <w:rsid w:val="5EDA7CAB"/>
    <w:rsid w:val="5EE501EE"/>
    <w:rsid w:val="5EFC42F5"/>
    <w:rsid w:val="5F4315E3"/>
    <w:rsid w:val="5F520023"/>
    <w:rsid w:val="5F850F8C"/>
    <w:rsid w:val="5FB172F1"/>
    <w:rsid w:val="5FD80599"/>
    <w:rsid w:val="5FFB11ED"/>
    <w:rsid w:val="60001DC2"/>
    <w:rsid w:val="60380678"/>
    <w:rsid w:val="605D60B2"/>
    <w:rsid w:val="60604FB9"/>
    <w:rsid w:val="60861F3E"/>
    <w:rsid w:val="609540A8"/>
    <w:rsid w:val="60B33EB4"/>
    <w:rsid w:val="60F21D80"/>
    <w:rsid w:val="610300C4"/>
    <w:rsid w:val="611A335C"/>
    <w:rsid w:val="61216701"/>
    <w:rsid w:val="612B1527"/>
    <w:rsid w:val="61502392"/>
    <w:rsid w:val="61627966"/>
    <w:rsid w:val="61C94E86"/>
    <w:rsid w:val="621161DC"/>
    <w:rsid w:val="623A393B"/>
    <w:rsid w:val="623B781D"/>
    <w:rsid w:val="626B5F89"/>
    <w:rsid w:val="627B32D8"/>
    <w:rsid w:val="62B90CFD"/>
    <w:rsid w:val="62C26E43"/>
    <w:rsid w:val="62E37FAA"/>
    <w:rsid w:val="62FF6042"/>
    <w:rsid w:val="63226337"/>
    <w:rsid w:val="632D650D"/>
    <w:rsid w:val="63863E37"/>
    <w:rsid w:val="63C079F3"/>
    <w:rsid w:val="63DC4A37"/>
    <w:rsid w:val="64080C7C"/>
    <w:rsid w:val="643709EB"/>
    <w:rsid w:val="644E7344"/>
    <w:rsid w:val="64C62EC0"/>
    <w:rsid w:val="64C753D2"/>
    <w:rsid w:val="64E82635"/>
    <w:rsid w:val="64F168C1"/>
    <w:rsid w:val="64F459D0"/>
    <w:rsid w:val="650E118E"/>
    <w:rsid w:val="65436EF1"/>
    <w:rsid w:val="65555035"/>
    <w:rsid w:val="657354F4"/>
    <w:rsid w:val="6576790A"/>
    <w:rsid w:val="6582338C"/>
    <w:rsid w:val="65B22786"/>
    <w:rsid w:val="65D750E7"/>
    <w:rsid w:val="65E531E0"/>
    <w:rsid w:val="65F6754E"/>
    <w:rsid w:val="660B4178"/>
    <w:rsid w:val="66126944"/>
    <w:rsid w:val="661735C0"/>
    <w:rsid w:val="66692167"/>
    <w:rsid w:val="666D55B6"/>
    <w:rsid w:val="66790B19"/>
    <w:rsid w:val="66872C44"/>
    <w:rsid w:val="66A4324F"/>
    <w:rsid w:val="66DD6DB6"/>
    <w:rsid w:val="66E85B68"/>
    <w:rsid w:val="6770064D"/>
    <w:rsid w:val="677C64DA"/>
    <w:rsid w:val="67925898"/>
    <w:rsid w:val="67EB2FCE"/>
    <w:rsid w:val="67EE62F1"/>
    <w:rsid w:val="67FE0ABC"/>
    <w:rsid w:val="68197F7C"/>
    <w:rsid w:val="68272B8D"/>
    <w:rsid w:val="682B4CB5"/>
    <w:rsid w:val="683478A8"/>
    <w:rsid w:val="684A0973"/>
    <w:rsid w:val="689D7645"/>
    <w:rsid w:val="68A36922"/>
    <w:rsid w:val="68C1245B"/>
    <w:rsid w:val="68CF44E4"/>
    <w:rsid w:val="68D474B9"/>
    <w:rsid w:val="68E960E1"/>
    <w:rsid w:val="68F7499D"/>
    <w:rsid w:val="68FD1B47"/>
    <w:rsid w:val="69236347"/>
    <w:rsid w:val="69520021"/>
    <w:rsid w:val="69774602"/>
    <w:rsid w:val="699A4315"/>
    <w:rsid w:val="699A7243"/>
    <w:rsid w:val="69B50573"/>
    <w:rsid w:val="6A1658F2"/>
    <w:rsid w:val="6A2D2B79"/>
    <w:rsid w:val="6A4533FD"/>
    <w:rsid w:val="6A496835"/>
    <w:rsid w:val="6A735F66"/>
    <w:rsid w:val="6A8E7740"/>
    <w:rsid w:val="6AD5648B"/>
    <w:rsid w:val="6AE370D2"/>
    <w:rsid w:val="6B122298"/>
    <w:rsid w:val="6B44347E"/>
    <w:rsid w:val="6B6F06C2"/>
    <w:rsid w:val="6B73161B"/>
    <w:rsid w:val="6B7409C3"/>
    <w:rsid w:val="6BDC5018"/>
    <w:rsid w:val="6BE01579"/>
    <w:rsid w:val="6BFE0E3C"/>
    <w:rsid w:val="6C026F3C"/>
    <w:rsid w:val="6C19025F"/>
    <w:rsid w:val="6C2C4F32"/>
    <w:rsid w:val="6C2E447B"/>
    <w:rsid w:val="6C396029"/>
    <w:rsid w:val="6C3B64A7"/>
    <w:rsid w:val="6CBA70CF"/>
    <w:rsid w:val="6CD83A9C"/>
    <w:rsid w:val="6D046762"/>
    <w:rsid w:val="6D1611E1"/>
    <w:rsid w:val="6D256766"/>
    <w:rsid w:val="6D594F53"/>
    <w:rsid w:val="6D7F405A"/>
    <w:rsid w:val="6DB9174A"/>
    <w:rsid w:val="6E1F0E23"/>
    <w:rsid w:val="6E5754C6"/>
    <w:rsid w:val="6E8A1B32"/>
    <w:rsid w:val="6EDF2BB6"/>
    <w:rsid w:val="6FA6229E"/>
    <w:rsid w:val="6FCC0F8B"/>
    <w:rsid w:val="6FF900E7"/>
    <w:rsid w:val="700E32C5"/>
    <w:rsid w:val="70294286"/>
    <w:rsid w:val="708C7ADE"/>
    <w:rsid w:val="70B307E8"/>
    <w:rsid w:val="70C96F94"/>
    <w:rsid w:val="70D05D03"/>
    <w:rsid w:val="70F64295"/>
    <w:rsid w:val="711575EE"/>
    <w:rsid w:val="715349F8"/>
    <w:rsid w:val="71945E92"/>
    <w:rsid w:val="71A53E36"/>
    <w:rsid w:val="71BF1449"/>
    <w:rsid w:val="72176375"/>
    <w:rsid w:val="721A1FF2"/>
    <w:rsid w:val="72356C20"/>
    <w:rsid w:val="723E4008"/>
    <w:rsid w:val="723F57BE"/>
    <w:rsid w:val="72AC1216"/>
    <w:rsid w:val="72B00049"/>
    <w:rsid w:val="72B70F99"/>
    <w:rsid w:val="72D10D26"/>
    <w:rsid w:val="72E01288"/>
    <w:rsid w:val="72E25676"/>
    <w:rsid w:val="73192710"/>
    <w:rsid w:val="732D44FD"/>
    <w:rsid w:val="73981574"/>
    <w:rsid w:val="73B92936"/>
    <w:rsid w:val="73FB49FD"/>
    <w:rsid w:val="741B10A0"/>
    <w:rsid w:val="74376D48"/>
    <w:rsid w:val="74446098"/>
    <w:rsid w:val="744D4519"/>
    <w:rsid w:val="745C5432"/>
    <w:rsid w:val="746B414F"/>
    <w:rsid w:val="7472539D"/>
    <w:rsid w:val="74901071"/>
    <w:rsid w:val="74915170"/>
    <w:rsid w:val="74DC45A8"/>
    <w:rsid w:val="74EE5741"/>
    <w:rsid w:val="750227FB"/>
    <w:rsid w:val="75212B9F"/>
    <w:rsid w:val="75693A34"/>
    <w:rsid w:val="75B770CD"/>
    <w:rsid w:val="75C16AA8"/>
    <w:rsid w:val="75CD34AB"/>
    <w:rsid w:val="75CF7ADF"/>
    <w:rsid w:val="75E67DA3"/>
    <w:rsid w:val="764B4F25"/>
    <w:rsid w:val="76686C67"/>
    <w:rsid w:val="76CE603E"/>
    <w:rsid w:val="76D1190F"/>
    <w:rsid w:val="76E2028D"/>
    <w:rsid w:val="76E75E76"/>
    <w:rsid w:val="77162A8D"/>
    <w:rsid w:val="774025C7"/>
    <w:rsid w:val="77644111"/>
    <w:rsid w:val="77815BBB"/>
    <w:rsid w:val="77894212"/>
    <w:rsid w:val="77CF3AFC"/>
    <w:rsid w:val="77D67A49"/>
    <w:rsid w:val="7800271B"/>
    <w:rsid w:val="780B7204"/>
    <w:rsid w:val="782E08A0"/>
    <w:rsid w:val="78440AB3"/>
    <w:rsid w:val="785B79C8"/>
    <w:rsid w:val="787A7054"/>
    <w:rsid w:val="78950BD0"/>
    <w:rsid w:val="78CA0ADB"/>
    <w:rsid w:val="78D85865"/>
    <w:rsid w:val="79071000"/>
    <w:rsid w:val="792C66E3"/>
    <w:rsid w:val="798B793F"/>
    <w:rsid w:val="79FE73E8"/>
    <w:rsid w:val="7A1D75AC"/>
    <w:rsid w:val="7A237A12"/>
    <w:rsid w:val="7A6054E2"/>
    <w:rsid w:val="7A8B7D4E"/>
    <w:rsid w:val="7A98230D"/>
    <w:rsid w:val="7AC77F2D"/>
    <w:rsid w:val="7AEF4620"/>
    <w:rsid w:val="7B010EE8"/>
    <w:rsid w:val="7B422B99"/>
    <w:rsid w:val="7B60499C"/>
    <w:rsid w:val="7B6276D7"/>
    <w:rsid w:val="7BCD0EC9"/>
    <w:rsid w:val="7C0C430A"/>
    <w:rsid w:val="7C2509CB"/>
    <w:rsid w:val="7C326A02"/>
    <w:rsid w:val="7C361D53"/>
    <w:rsid w:val="7C515A2B"/>
    <w:rsid w:val="7C7E2BD2"/>
    <w:rsid w:val="7CB814EC"/>
    <w:rsid w:val="7CBF1AA2"/>
    <w:rsid w:val="7CDC5105"/>
    <w:rsid w:val="7CF92CB6"/>
    <w:rsid w:val="7D1E30D7"/>
    <w:rsid w:val="7D2A2240"/>
    <w:rsid w:val="7D2C7B21"/>
    <w:rsid w:val="7D944D6D"/>
    <w:rsid w:val="7DC06AE5"/>
    <w:rsid w:val="7DC91483"/>
    <w:rsid w:val="7DDF015B"/>
    <w:rsid w:val="7DEE0A06"/>
    <w:rsid w:val="7E745C2A"/>
    <w:rsid w:val="7EA95F25"/>
    <w:rsid w:val="7EBF6D37"/>
    <w:rsid w:val="7ED31DC1"/>
    <w:rsid w:val="7EF47C86"/>
    <w:rsid w:val="7F3B5B00"/>
    <w:rsid w:val="7F4E7903"/>
    <w:rsid w:val="7F510FB4"/>
    <w:rsid w:val="7FCB0BE9"/>
    <w:rsid w:val="7FE147D1"/>
    <w:rsid w:val="7FEB6C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0" w:semiHidden="0" w:name="toa heading" w:locked="1"/>
    <w:lsdException w:qFormat="1" w:unhideWhenUsed="0" w:uiPriority="0" w:semiHidden="0" w:name="List"/>
    <w:lsdException w:qFormat="1" w:uiPriority="0" w:semiHidden="0" w:name="List Bullet" w:locked="1"/>
    <w:lsdException w:uiPriority="99"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0" w:semiHidden="0" w:name="Body Text 2"/>
    <w:lsdException w:uiPriority="99" w:name="Body Text 3" w:locked="1"/>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ocked="1"/>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3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3"/>
    <w:qFormat/>
    <w:uiPriority w:val="0"/>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6">
    <w:name w:val="heading 2"/>
    <w:basedOn w:val="1"/>
    <w:next w:val="1"/>
    <w:link w:val="64"/>
    <w:qFormat/>
    <w:uiPriority w:val="0"/>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7">
    <w:name w:val="heading 3"/>
    <w:basedOn w:val="1"/>
    <w:next w:val="1"/>
    <w:link w:val="65"/>
    <w:qFormat/>
    <w:uiPriority w:val="0"/>
    <w:pPr>
      <w:keepNext/>
      <w:keepLines/>
      <w:adjustRightInd w:val="0"/>
      <w:spacing w:before="260" w:after="260" w:line="416" w:lineRule="atLeast"/>
      <w:textAlignment w:val="baseline"/>
      <w:outlineLvl w:val="2"/>
    </w:pPr>
    <w:rPr>
      <w:b/>
      <w:bCs/>
      <w:kern w:val="0"/>
      <w:sz w:val="32"/>
      <w:szCs w:val="32"/>
    </w:rPr>
  </w:style>
  <w:style w:type="paragraph" w:styleId="8">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9">
    <w:name w:val="heading 5"/>
    <w:basedOn w:val="1"/>
    <w:next w:val="1"/>
    <w:link w:val="67"/>
    <w:qFormat/>
    <w:uiPriority w:val="0"/>
    <w:pPr>
      <w:keepNext/>
      <w:keepLines/>
      <w:adjustRightInd w:val="0"/>
      <w:spacing w:before="280" w:after="290" w:line="376" w:lineRule="atLeast"/>
      <w:textAlignment w:val="baseline"/>
      <w:outlineLvl w:val="4"/>
    </w:pPr>
    <w:rPr>
      <w:b/>
      <w:bCs/>
      <w:kern w:val="0"/>
      <w:sz w:val="28"/>
      <w:szCs w:val="28"/>
    </w:rPr>
  </w:style>
  <w:style w:type="paragraph" w:styleId="10">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1">
    <w:name w:val="heading 7"/>
    <w:basedOn w:val="1"/>
    <w:next w:val="1"/>
    <w:link w:val="69"/>
    <w:qFormat/>
    <w:uiPriority w:val="0"/>
    <w:pPr>
      <w:keepNext/>
      <w:keepLines/>
      <w:adjustRightInd w:val="0"/>
      <w:spacing w:before="240" w:after="64" w:line="320" w:lineRule="atLeast"/>
      <w:textAlignment w:val="baseline"/>
      <w:outlineLvl w:val="6"/>
    </w:pPr>
    <w:rPr>
      <w:b/>
      <w:bCs/>
      <w:kern w:val="0"/>
      <w:sz w:val="24"/>
      <w:szCs w:val="24"/>
    </w:rPr>
  </w:style>
  <w:style w:type="paragraph" w:styleId="12">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3">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5">
    <w:name w:val="Default Paragraph Font"/>
    <w:semiHidden/>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3"/>
    <w:qFormat/>
    <w:locked/>
    <w:uiPriority w:val="0"/>
    <w:pPr>
      <w:ind w:firstLine="420" w:firstLineChars="200"/>
    </w:pPr>
  </w:style>
  <w:style w:type="paragraph" w:styleId="3">
    <w:name w:val="Body Text Indent"/>
    <w:basedOn w:val="1"/>
    <w:next w:val="4"/>
    <w:link w:val="72"/>
    <w:qFormat/>
    <w:uiPriority w:val="0"/>
    <w:pPr>
      <w:spacing w:after="156"/>
      <w:ind w:firstLine="480"/>
    </w:pPr>
    <w:rPr>
      <w:rFonts w:ascii="Calibri" w:hAnsi="Calibri" w:cs="Calibri"/>
      <w:sz w:val="24"/>
      <w:szCs w:val="24"/>
    </w:rPr>
  </w:style>
  <w:style w:type="paragraph" w:styleId="4">
    <w:name w:val="envelope return"/>
    <w:basedOn w:val="1"/>
    <w:qFormat/>
    <w:locked/>
    <w:uiPriority w:val="99"/>
    <w:pPr>
      <w:snapToGrid w:val="0"/>
    </w:pPr>
    <w:rPr>
      <w:rFonts w:ascii="Arial" w:hAnsi="Arial" w:cs="Arial"/>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rPr>
      <w:sz w:val="18"/>
      <w:szCs w:val="18"/>
    </w:rPr>
  </w:style>
  <w:style w:type="paragraph" w:styleId="16">
    <w:name w:val="Normal Indent"/>
    <w:basedOn w:val="1"/>
    <w:link w:val="98"/>
    <w:qFormat/>
    <w:uiPriority w:val="0"/>
    <w:pPr>
      <w:ind w:firstLine="420"/>
    </w:pPr>
  </w:style>
  <w:style w:type="paragraph" w:styleId="17">
    <w:name w:val="List Bullet"/>
    <w:basedOn w:val="1"/>
    <w:unhideWhenUsed/>
    <w:qFormat/>
    <w:locked/>
    <w:uiPriority w:val="0"/>
    <w:pPr>
      <w:tabs>
        <w:tab w:val="left" w:pos="360"/>
      </w:tabs>
      <w:contextualSpacing/>
    </w:pPr>
    <w:rPr>
      <w:szCs w:val="20"/>
    </w:rPr>
  </w:style>
  <w:style w:type="paragraph" w:styleId="18">
    <w:name w:val="Document Map"/>
    <w:basedOn w:val="1"/>
    <w:link w:val="74"/>
    <w:qFormat/>
    <w:uiPriority w:val="0"/>
    <w:pPr>
      <w:shd w:val="clear" w:color="auto" w:fill="000080"/>
    </w:pPr>
  </w:style>
  <w:style w:type="paragraph" w:styleId="19">
    <w:name w:val="toa heading"/>
    <w:basedOn w:val="1"/>
    <w:next w:val="1"/>
    <w:unhideWhenUsed/>
    <w:qFormat/>
    <w:locked/>
    <w:uiPriority w:val="0"/>
    <w:pPr>
      <w:adjustRightInd w:val="0"/>
      <w:spacing w:before="200" w:line="360" w:lineRule="atLeast"/>
      <w:jc w:val="center"/>
    </w:pPr>
    <w:rPr>
      <w:rFonts w:ascii="Arial" w:hAnsi="Arial" w:eastAsia="黑体"/>
      <w:kern w:val="0"/>
      <w:sz w:val="44"/>
      <w:szCs w:val="20"/>
    </w:rPr>
  </w:style>
  <w:style w:type="paragraph" w:styleId="20">
    <w:name w:val="annotation text"/>
    <w:basedOn w:val="1"/>
    <w:link w:val="75"/>
    <w:qFormat/>
    <w:uiPriority w:val="0"/>
    <w:pPr>
      <w:jc w:val="left"/>
    </w:pPr>
    <w:rPr>
      <w:rFonts w:ascii="Calibri" w:hAnsi="Calibri" w:cs="Calibri"/>
    </w:rPr>
  </w:style>
  <w:style w:type="paragraph" w:styleId="21">
    <w:name w:val="Body Text"/>
    <w:basedOn w:val="1"/>
    <w:link w:val="76"/>
    <w:qFormat/>
    <w:uiPriority w:val="0"/>
    <w:rPr>
      <w:sz w:val="24"/>
      <w:szCs w:val="24"/>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autoSpaceDE w:val="0"/>
      <w:autoSpaceDN w:val="0"/>
      <w:adjustRightInd w:val="0"/>
      <w:spacing w:line="300" w:lineRule="auto"/>
      <w:ind w:left="29" w:leftChars="12" w:right="6" w:firstLine="560" w:firstLineChars="200"/>
    </w:pPr>
    <w:rPr>
      <w:kern w:val="0"/>
      <w:sz w:val="28"/>
      <w:szCs w:val="2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77"/>
    <w:qFormat/>
    <w:uiPriority w:val="0"/>
    <w:rPr>
      <w:rFonts w:ascii="宋体" w:hAnsi="Courier New" w:cs="宋体"/>
    </w:rPr>
  </w:style>
  <w:style w:type="paragraph" w:styleId="28">
    <w:name w:val="toc 8"/>
    <w:basedOn w:val="1"/>
    <w:next w:val="1"/>
    <w:qFormat/>
    <w:uiPriority w:val="0"/>
    <w:pPr>
      <w:ind w:left="1470"/>
      <w:jc w:val="left"/>
    </w:pPr>
    <w:rPr>
      <w:sz w:val="18"/>
      <w:szCs w:val="18"/>
    </w:rPr>
  </w:style>
  <w:style w:type="paragraph" w:styleId="29">
    <w:name w:val="Date"/>
    <w:basedOn w:val="1"/>
    <w:next w:val="1"/>
    <w:link w:val="78"/>
    <w:qFormat/>
    <w:uiPriority w:val="0"/>
    <w:pPr>
      <w:widowControl/>
      <w:ind w:left="100"/>
      <w:jc w:val="left"/>
    </w:pPr>
    <w:rPr>
      <w:rFonts w:ascii="宋体" w:hAnsi="宋体" w:cs="宋体"/>
      <w:kern w:val="0"/>
      <w:sz w:val="28"/>
      <w:szCs w:val="28"/>
    </w:rPr>
  </w:style>
  <w:style w:type="paragraph" w:styleId="30">
    <w:name w:val="Body Text Indent 2"/>
    <w:basedOn w:val="1"/>
    <w:link w:val="79"/>
    <w:qFormat/>
    <w:uiPriority w:val="0"/>
    <w:pPr>
      <w:ind w:left="1436" w:leftChars="684"/>
    </w:pPr>
    <w:rPr>
      <w:sz w:val="24"/>
      <w:szCs w:val="24"/>
    </w:rPr>
  </w:style>
  <w:style w:type="paragraph" w:styleId="31">
    <w:name w:val="List Continue 5"/>
    <w:basedOn w:val="1"/>
    <w:qFormat/>
    <w:uiPriority w:val="0"/>
    <w:pPr>
      <w:spacing w:after="120"/>
      <w:ind w:left="2100" w:leftChars="1000"/>
    </w:pPr>
  </w:style>
  <w:style w:type="paragraph" w:styleId="32">
    <w:name w:val="Balloon Text"/>
    <w:basedOn w:val="1"/>
    <w:link w:val="80"/>
    <w:qFormat/>
    <w:uiPriority w:val="0"/>
    <w:rPr>
      <w:rFonts w:ascii="Calibri" w:hAnsi="Calibri" w:cs="Calibri"/>
      <w:sz w:val="18"/>
      <w:szCs w:val="18"/>
    </w:rPr>
  </w:style>
  <w:style w:type="paragraph" w:styleId="33">
    <w:name w:val="footer"/>
    <w:basedOn w:val="1"/>
    <w:link w:val="81"/>
    <w:qFormat/>
    <w:uiPriority w:val="99"/>
    <w:pPr>
      <w:tabs>
        <w:tab w:val="center" w:pos="4153"/>
        <w:tab w:val="right" w:pos="8306"/>
      </w:tabs>
      <w:snapToGrid w:val="0"/>
      <w:jc w:val="left"/>
    </w:pPr>
    <w:rPr>
      <w:rFonts w:ascii="Calibri" w:hAnsi="Calibri" w:cs="Calibri"/>
      <w:sz w:val="18"/>
      <w:szCs w:val="18"/>
    </w:r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6">
    <w:name w:val="List Continue 4"/>
    <w:basedOn w:val="1"/>
    <w:qFormat/>
    <w:uiPriority w:val="0"/>
    <w:pPr>
      <w:spacing w:after="120"/>
      <w:ind w:left="1680" w:leftChars="800"/>
    </w:pPr>
  </w:style>
  <w:style w:type="paragraph" w:styleId="37">
    <w:name w:val="toc 4"/>
    <w:basedOn w:val="1"/>
    <w:next w:val="1"/>
    <w:qFormat/>
    <w:uiPriority w:val="0"/>
    <w:pPr>
      <w:tabs>
        <w:tab w:val="left" w:pos="1080"/>
        <w:tab w:val="right" w:leader="dot" w:pos="9125"/>
      </w:tabs>
      <w:adjustRightInd w:val="0"/>
      <w:snapToGrid w:val="0"/>
      <w:spacing w:line="360" w:lineRule="auto"/>
      <w:jc w:val="left"/>
    </w:pPr>
    <w:rPr>
      <w:sz w:val="18"/>
      <w:szCs w:val="18"/>
    </w:rPr>
  </w:style>
  <w:style w:type="paragraph" w:styleId="38">
    <w:name w:val="List"/>
    <w:basedOn w:val="1"/>
    <w:qFormat/>
    <w:uiPriority w:val="0"/>
    <w:pPr>
      <w:ind w:left="200" w:hanging="200" w:hangingChars="200"/>
    </w:pPr>
  </w:style>
  <w:style w:type="paragraph" w:styleId="39">
    <w:name w:val="footnote text"/>
    <w:basedOn w:val="1"/>
    <w:link w:val="83"/>
    <w:qFormat/>
    <w:uiPriority w:val="0"/>
    <w:pPr>
      <w:snapToGrid w:val="0"/>
      <w:jc w:val="left"/>
    </w:pPr>
    <w:rPr>
      <w:sz w:val="18"/>
      <w:szCs w:val="18"/>
    </w:rPr>
  </w:style>
  <w:style w:type="paragraph" w:styleId="40">
    <w:name w:val="toc 6"/>
    <w:basedOn w:val="1"/>
    <w:next w:val="1"/>
    <w:qFormat/>
    <w:uiPriority w:val="0"/>
    <w:pPr>
      <w:ind w:left="1050"/>
      <w:jc w:val="left"/>
    </w:pPr>
    <w:rPr>
      <w:sz w:val="18"/>
      <w:szCs w:val="18"/>
    </w:rPr>
  </w:style>
  <w:style w:type="paragraph" w:styleId="41">
    <w:name w:val="List 5"/>
    <w:basedOn w:val="1"/>
    <w:qFormat/>
    <w:uiPriority w:val="0"/>
    <w:pPr>
      <w:ind w:left="100" w:leftChars="800" w:hanging="200" w:hangingChars="200"/>
    </w:pPr>
  </w:style>
  <w:style w:type="paragraph" w:styleId="42">
    <w:name w:val="Body Text Indent 3"/>
    <w:basedOn w:val="1"/>
    <w:link w:val="84"/>
    <w:qFormat/>
    <w:uiPriority w:val="0"/>
    <w:pPr>
      <w:spacing w:after="120"/>
      <w:ind w:left="420" w:leftChars="200"/>
    </w:pPr>
    <w:rPr>
      <w:sz w:val="16"/>
      <w:szCs w:val="16"/>
    </w:rPr>
  </w:style>
  <w:style w:type="paragraph" w:styleId="43">
    <w:name w:val="toc 2"/>
    <w:basedOn w:val="1"/>
    <w:next w:val="1"/>
    <w:qFormat/>
    <w:uiPriority w:val="0"/>
    <w:pPr>
      <w:ind w:left="210"/>
      <w:jc w:val="left"/>
    </w:pPr>
    <w:rPr>
      <w:smallCaps/>
      <w:sz w:val="20"/>
      <w:szCs w:val="20"/>
    </w:rPr>
  </w:style>
  <w:style w:type="paragraph" w:styleId="44">
    <w:name w:val="toc 9"/>
    <w:basedOn w:val="1"/>
    <w:next w:val="1"/>
    <w:qFormat/>
    <w:uiPriority w:val="0"/>
    <w:pPr>
      <w:ind w:left="1680"/>
      <w:jc w:val="left"/>
    </w:pPr>
    <w:rPr>
      <w:sz w:val="18"/>
      <w:szCs w:val="18"/>
    </w:rPr>
  </w:style>
  <w:style w:type="paragraph" w:styleId="45">
    <w:name w:val="Body Text 2"/>
    <w:basedOn w:val="1"/>
    <w:link w:val="85"/>
    <w:qFormat/>
    <w:uiPriority w:val="0"/>
    <w:rPr>
      <w:rFonts w:ascii="宋体" w:hAnsi="宋体" w:cs="宋体"/>
      <w:sz w:val="24"/>
      <w:szCs w:val="24"/>
    </w:r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86"/>
    <w:qFormat/>
    <w:uiPriority w:val="0"/>
    <w:rPr>
      <w:rFonts w:ascii="Courier New" w:hAnsi="Courier New" w:cs="Courier New"/>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List Continue 3"/>
    <w:basedOn w:val="1"/>
    <w:qFormat/>
    <w:uiPriority w:val="0"/>
    <w:pPr>
      <w:spacing w:after="120"/>
      <w:ind w:left="1260" w:leftChars="600"/>
    </w:pPr>
  </w:style>
  <w:style w:type="paragraph" w:styleId="51">
    <w:name w:val="annotation subject"/>
    <w:basedOn w:val="20"/>
    <w:next w:val="20"/>
    <w:link w:val="87"/>
    <w:qFormat/>
    <w:uiPriority w:val="0"/>
    <w:rPr>
      <w:b/>
      <w:bCs/>
    </w:rPr>
  </w:style>
  <w:style w:type="paragraph" w:styleId="52">
    <w:name w:val="Body Text First Indent"/>
    <w:basedOn w:val="21"/>
    <w:link w:val="88"/>
    <w:qFormat/>
    <w:uiPriority w:val="0"/>
    <w:pPr>
      <w:spacing w:line="360" w:lineRule="auto"/>
      <w:ind w:firstLine="482"/>
    </w:pPr>
    <w:rPr>
      <w:b/>
      <w:bCs/>
    </w:rPr>
  </w:style>
  <w:style w:type="table" w:styleId="54">
    <w:name w:val="Table Grid"/>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qFormat/>
    <w:locked/>
    <w:uiPriority w:val="0"/>
    <w:rPr>
      <w:b/>
      <w:bCs/>
    </w:rPr>
  </w:style>
  <w:style w:type="character" w:styleId="57">
    <w:name w:val="page number"/>
    <w:basedOn w:val="55"/>
    <w:qFormat/>
    <w:uiPriority w:val="0"/>
  </w:style>
  <w:style w:type="character" w:styleId="58">
    <w:name w:val="FollowedHyperlink"/>
    <w:basedOn w:val="55"/>
    <w:qFormat/>
    <w:locked/>
    <w:uiPriority w:val="0"/>
    <w:rPr>
      <w:color w:val="333333"/>
      <w:u w:val="none"/>
    </w:rPr>
  </w:style>
  <w:style w:type="character" w:styleId="59">
    <w:name w:val="Emphasis"/>
    <w:qFormat/>
    <w:uiPriority w:val="0"/>
    <w:rPr>
      <w:color w:val="CC0000"/>
    </w:rPr>
  </w:style>
  <w:style w:type="character" w:styleId="60">
    <w:name w:val="Hyperlink"/>
    <w:basedOn w:val="55"/>
    <w:qFormat/>
    <w:uiPriority w:val="0"/>
    <w:rPr>
      <w:color w:val="333333"/>
      <w:u w:val="none"/>
    </w:rPr>
  </w:style>
  <w:style w:type="character" w:styleId="61">
    <w:name w:val="annotation reference"/>
    <w:basedOn w:val="55"/>
    <w:qFormat/>
    <w:uiPriority w:val="0"/>
    <w:rPr>
      <w:sz w:val="21"/>
      <w:szCs w:val="21"/>
    </w:rPr>
  </w:style>
  <w:style w:type="character" w:styleId="62">
    <w:name w:val="footnote reference"/>
    <w:basedOn w:val="55"/>
    <w:qFormat/>
    <w:uiPriority w:val="0"/>
    <w:rPr>
      <w:vertAlign w:val="superscript"/>
    </w:rPr>
  </w:style>
  <w:style w:type="character" w:customStyle="1" w:styleId="63">
    <w:name w:val="标题 1 Char"/>
    <w:basedOn w:val="55"/>
    <w:link w:val="5"/>
    <w:qFormat/>
    <w:locked/>
    <w:uiPriority w:val="0"/>
    <w:rPr>
      <w:b/>
      <w:bCs/>
      <w:kern w:val="44"/>
      <w:sz w:val="44"/>
      <w:szCs w:val="44"/>
    </w:rPr>
  </w:style>
  <w:style w:type="character" w:customStyle="1" w:styleId="64">
    <w:name w:val="标题 2 Char"/>
    <w:basedOn w:val="55"/>
    <w:link w:val="6"/>
    <w:qFormat/>
    <w:locked/>
    <w:uiPriority w:val="0"/>
    <w:rPr>
      <w:rFonts w:ascii="Arial" w:hAnsi="Arial" w:eastAsia="黑体" w:cs="Arial"/>
      <w:b/>
      <w:bCs/>
      <w:sz w:val="32"/>
      <w:szCs w:val="32"/>
    </w:rPr>
  </w:style>
  <w:style w:type="character" w:customStyle="1" w:styleId="65">
    <w:name w:val="标题 3 Char"/>
    <w:basedOn w:val="55"/>
    <w:link w:val="7"/>
    <w:qFormat/>
    <w:locked/>
    <w:uiPriority w:val="0"/>
    <w:rPr>
      <w:rFonts w:ascii="Times New Roman" w:hAnsi="Times New Roman" w:cs="Times New Roman"/>
      <w:b/>
      <w:bCs/>
      <w:sz w:val="32"/>
      <w:szCs w:val="32"/>
    </w:rPr>
  </w:style>
  <w:style w:type="character" w:customStyle="1" w:styleId="66">
    <w:name w:val="标题 4 Char"/>
    <w:basedOn w:val="55"/>
    <w:link w:val="8"/>
    <w:qFormat/>
    <w:locked/>
    <w:uiPriority w:val="0"/>
    <w:rPr>
      <w:rFonts w:ascii="Arial" w:hAnsi="Arial" w:eastAsia="黑体" w:cs="Arial"/>
      <w:b/>
      <w:bCs/>
      <w:kern w:val="2"/>
      <w:sz w:val="28"/>
      <w:szCs w:val="28"/>
      <w:lang w:val="en-US" w:eastAsia="zh-CN"/>
    </w:rPr>
  </w:style>
  <w:style w:type="character" w:customStyle="1" w:styleId="67">
    <w:name w:val="标题 5 Char"/>
    <w:basedOn w:val="55"/>
    <w:link w:val="9"/>
    <w:qFormat/>
    <w:locked/>
    <w:uiPriority w:val="0"/>
    <w:rPr>
      <w:rFonts w:ascii="Times New Roman" w:hAnsi="Times New Roman" w:cs="Times New Roman"/>
      <w:b/>
      <w:bCs/>
      <w:sz w:val="28"/>
      <w:szCs w:val="28"/>
    </w:rPr>
  </w:style>
  <w:style w:type="character" w:customStyle="1" w:styleId="68">
    <w:name w:val="标题 6 Char"/>
    <w:basedOn w:val="55"/>
    <w:link w:val="10"/>
    <w:qFormat/>
    <w:locked/>
    <w:uiPriority w:val="0"/>
    <w:rPr>
      <w:rFonts w:ascii="Cambria" w:hAnsi="Cambria" w:eastAsia="宋体" w:cs="Cambria"/>
      <w:b/>
      <w:bCs/>
      <w:sz w:val="24"/>
      <w:szCs w:val="24"/>
    </w:rPr>
  </w:style>
  <w:style w:type="character" w:customStyle="1" w:styleId="69">
    <w:name w:val="标题 7 Char"/>
    <w:basedOn w:val="55"/>
    <w:link w:val="11"/>
    <w:qFormat/>
    <w:locked/>
    <w:uiPriority w:val="0"/>
    <w:rPr>
      <w:rFonts w:ascii="Times New Roman" w:hAnsi="Times New Roman" w:cs="Times New Roman"/>
      <w:b/>
      <w:bCs/>
      <w:sz w:val="24"/>
      <w:szCs w:val="24"/>
    </w:rPr>
  </w:style>
  <w:style w:type="character" w:customStyle="1" w:styleId="70">
    <w:name w:val="标题 8 Char"/>
    <w:basedOn w:val="55"/>
    <w:link w:val="12"/>
    <w:qFormat/>
    <w:locked/>
    <w:uiPriority w:val="0"/>
    <w:rPr>
      <w:rFonts w:ascii="Cambria" w:hAnsi="Cambria" w:eastAsia="宋体" w:cs="Cambria"/>
      <w:sz w:val="24"/>
      <w:szCs w:val="24"/>
    </w:rPr>
  </w:style>
  <w:style w:type="character" w:customStyle="1" w:styleId="71">
    <w:name w:val="标题 9 Char"/>
    <w:basedOn w:val="55"/>
    <w:link w:val="13"/>
    <w:qFormat/>
    <w:locked/>
    <w:uiPriority w:val="0"/>
    <w:rPr>
      <w:rFonts w:ascii="Cambria" w:hAnsi="Cambria" w:eastAsia="宋体" w:cs="Cambria"/>
      <w:sz w:val="21"/>
      <w:szCs w:val="21"/>
    </w:rPr>
  </w:style>
  <w:style w:type="character" w:customStyle="1" w:styleId="72">
    <w:name w:val="正文文本缩进 Char"/>
    <w:basedOn w:val="55"/>
    <w:link w:val="3"/>
    <w:qFormat/>
    <w:locked/>
    <w:uiPriority w:val="0"/>
    <w:rPr>
      <w:kern w:val="2"/>
      <w:sz w:val="24"/>
      <w:szCs w:val="24"/>
    </w:rPr>
  </w:style>
  <w:style w:type="character" w:customStyle="1" w:styleId="73">
    <w:name w:val="正文首行缩进 2 Char"/>
    <w:basedOn w:val="72"/>
    <w:link w:val="2"/>
    <w:qFormat/>
    <w:locked/>
    <w:uiPriority w:val="0"/>
    <w:rPr>
      <w:rFonts w:ascii="Times New Roman" w:hAnsi="Times New Roman" w:cs="Times New Roman"/>
      <w:kern w:val="2"/>
      <w:sz w:val="21"/>
      <w:szCs w:val="21"/>
    </w:rPr>
  </w:style>
  <w:style w:type="character" w:customStyle="1" w:styleId="74">
    <w:name w:val="文档结构图 Char"/>
    <w:basedOn w:val="55"/>
    <w:link w:val="18"/>
    <w:qFormat/>
    <w:locked/>
    <w:uiPriority w:val="0"/>
    <w:rPr>
      <w:rFonts w:ascii="Times New Roman" w:hAnsi="Times New Roman" w:cs="Times New Roman"/>
      <w:sz w:val="2"/>
      <w:szCs w:val="2"/>
    </w:rPr>
  </w:style>
  <w:style w:type="character" w:customStyle="1" w:styleId="75">
    <w:name w:val="批注文字 Char"/>
    <w:basedOn w:val="55"/>
    <w:link w:val="20"/>
    <w:qFormat/>
    <w:locked/>
    <w:uiPriority w:val="0"/>
    <w:rPr>
      <w:kern w:val="2"/>
      <w:sz w:val="21"/>
      <w:szCs w:val="21"/>
    </w:rPr>
  </w:style>
  <w:style w:type="character" w:customStyle="1" w:styleId="76">
    <w:name w:val="正文文本 Char"/>
    <w:basedOn w:val="55"/>
    <w:link w:val="21"/>
    <w:qFormat/>
    <w:locked/>
    <w:uiPriority w:val="0"/>
    <w:rPr>
      <w:rFonts w:ascii="Times New Roman" w:hAnsi="Times New Roman" w:cs="Times New Roman"/>
      <w:sz w:val="21"/>
      <w:szCs w:val="21"/>
    </w:rPr>
  </w:style>
  <w:style w:type="character" w:customStyle="1" w:styleId="77">
    <w:name w:val="纯文本 Char"/>
    <w:basedOn w:val="55"/>
    <w:link w:val="27"/>
    <w:qFormat/>
    <w:locked/>
    <w:uiPriority w:val="99"/>
    <w:rPr>
      <w:rFonts w:ascii="宋体" w:hAnsi="Courier New" w:cs="宋体"/>
      <w:sz w:val="21"/>
      <w:szCs w:val="21"/>
    </w:rPr>
  </w:style>
  <w:style w:type="character" w:customStyle="1" w:styleId="78">
    <w:name w:val="日期 Char"/>
    <w:basedOn w:val="55"/>
    <w:link w:val="29"/>
    <w:qFormat/>
    <w:locked/>
    <w:uiPriority w:val="0"/>
    <w:rPr>
      <w:rFonts w:ascii="Times New Roman" w:hAnsi="Times New Roman" w:cs="Times New Roman"/>
      <w:sz w:val="21"/>
      <w:szCs w:val="21"/>
    </w:rPr>
  </w:style>
  <w:style w:type="character" w:customStyle="1" w:styleId="79">
    <w:name w:val="正文文本缩进 2 Char"/>
    <w:basedOn w:val="55"/>
    <w:link w:val="30"/>
    <w:qFormat/>
    <w:locked/>
    <w:uiPriority w:val="0"/>
    <w:rPr>
      <w:rFonts w:ascii="Times New Roman" w:hAnsi="Times New Roman" w:cs="Times New Roman"/>
      <w:sz w:val="21"/>
      <w:szCs w:val="21"/>
    </w:rPr>
  </w:style>
  <w:style w:type="character" w:customStyle="1" w:styleId="80">
    <w:name w:val="批注框文本 Char"/>
    <w:basedOn w:val="55"/>
    <w:link w:val="32"/>
    <w:qFormat/>
    <w:locked/>
    <w:uiPriority w:val="0"/>
    <w:rPr>
      <w:rFonts w:eastAsia="宋体"/>
      <w:kern w:val="2"/>
      <w:sz w:val="18"/>
      <w:szCs w:val="18"/>
      <w:lang w:val="en-US" w:eastAsia="zh-CN"/>
    </w:rPr>
  </w:style>
  <w:style w:type="character" w:customStyle="1" w:styleId="81">
    <w:name w:val="页脚 Char"/>
    <w:basedOn w:val="55"/>
    <w:link w:val="33"/>
    <w:qFormat/>
    <w:locked/>
    <w:uiPriority w:val="99"/>
    <w:rPr>
      <w:kern w:val="2"/>
      <w:sz w:val="18"/>
      <w:szCs w:val="18"/>
    </w:rPr>
  </w:style>
  <w:style w:type="character" w:customStyle="1" w:styleId="82">
    <w:name w:val="页眉 Char"/>
    <w:basedOn w:val="55"/>
    <w:link w:val="34"/>
    <w:qFormat/>
    <w:locked/>
    <w:uiPriority w:val="0"/>
    <w:rPr>
      <w:rFonts w:ascii="Times New Roman" w:hAnsi="Times New Roman" w:cs="Times New Roman"/>
      <w:sz w:val="18"/>
      <w:szCs w:val="18"/>
    </w:rPr>
  </w:style>
  <w:style w:type="character" w:customStyle="1" w:styleId="83">
    <w:name w:val="脚注文本 Char"/>
    <w:basedOn w:val="55"/>
    <w:link w:val="39"/>
    <w:qFormat/>
    <w:locked/>
    <w:uiPriority w:val="0"/>
    <w:rPr>
      <w:rFonts w:ascii="Times New Roman" w:hAnsi="Times New Roman" w:cs="Times New Roman"/>
      <w:sz w:val="18"/>
      <w:szCs w:val="18"/>
    </w:rPr>
  </w:style>
  <w:style w:type="character" w:customStyle="1" w:styleId="84">
    <w:name w:val="正文文本缩进 3 Char"/>
    <w:basedOn w:val="55"/>
    <w:link w:val="42"/>
    <w:semiHidden/>
    <w:qFormat/>
    <w:locked/>
    <w:uiPriority w:val="99"/>
    <w:rPr>
      <w:rFonts w:ascii="Times New Roman" w:hAnsi="Times New Roman" w:cs="Times New Roman"/>
      <w:sz w:val="16"/>
      <w:szCs w:val="16"/>
    </w:rPr>
  </w:style>
  <w:style w:type="character" w:customStyle="1" w:styleId="85">
    <w:name w:val="正文文本 2 Char"/>
    <w:basedOn w:val="55"/>
    <w:link w:val="45"/>
    <w:qFormat/>
    <w:locked/>
    <w:uiPriority w:val="0"/>
    <w:rPr>
      <w:rFonts w:ascii="Times New Roman" w:hAnsi="Times New Roman" w:cs="Times New Roman"/>
      <w:sz w:val="21"/>
      <w:szCs w:val="21"/>
    </w:rPr>
  </w:style>
  <w:style w:type="character" w:customStyle="1" w:styleId="86">
    <w:name w:val="HTML 预设格式 Char"/>
    <w:basedOn w:val="55"/>
    <w:link w:val="48"/>
    <w:qFormat/>
    <w:locked/>
    <w:uiPriority w:val="0"/>
    <w:rPr>
      <w:rFonts w:ascii="Courier New" w:hAnsi="Courier New" w:cs="Courier New"/>
      <w:kern w:val="2"/>
    </w:rPr>
  </w:style>
  <w:style w:type="character" w:customStyle="1" w:styleId="87">
    <w:name w:val="批注主题 Char"/>
    <w:basedOn w:val="75"/>
    <w:link w:val="51"/>
    <w:qFormat/>
    <w:locked/>
    <w:uiPriority w:val="0"/>
    <w:rPr>
      <w:rFonts w:ascii="Times New Roman" w:hAnsi="Times New Roman" w:cs="Times New Roman"/>
      <w:b/>
      <w:bCs/>
      <w:kern w:val="2"/>
      <w:sz w:val="21"/>
      <w:szCs w:val="21"/>
    </w:rPr>
  </w:style>
  <w:style w:type="character" w:customStyle="1" w:styleId="88">
    <w:name w:val="正文首行缩进 Char"/>
    <w:basedOn w:val="76"/>
    <w:link w:val="52"/>
    <w:qFormat/>
    <w:locked/>
    <w:uiPriority w:val="0"/>
    <w:rPr>
      <w:rFonts w:ascii="Times New Roman" w:hAnsi="Times New Roman" w:cs="Times New Roman"/>
      <w:sz w:val="21"/>
      <w:szCs w:val="21"/>
    </w:rPr>
  </w:style>
  <w:style w:type="character" w:customStyle="1" w:styleId="89">
    <w:name w:val="style1"/>
    <w:qFormat/>
    <w:uiPriority w:val="0"/>
  </w:style>
  <w:style w:type="character" w:customStyle="1" w:styleId="90">
    <w:name w:val="纯文本 Char_0_0"/>
    <w:link w:val="91"/>
    <w:qFormat/>
    <w:locked/>
    <w:uiPriority w:val="99"/>
    <w:rPr>
      <w:rFonts w:ascii="宋体" w:hAnsi="Courier New" w:cs="宋体"/>
      <w:kern w:val="2"/>
      <w:sz w:val="21"/>
      <w:szCs w:val="21"/>
    </w:rPr>
  </w:style>
  <w:style w:type="paragraph" w:customStyle="1" w:styleId="91">
    <w:name w:val="纯文本_0_0"/>
    <w:basedOn w:val="92"/>
    <w:link w:val="90"/>
    <w:qFormat/>
    <w:uiPriority w:val="99"/>
    <w:rPr>
      <w:rFonts w:ascii="宋体" w:hAnsi="Courier New" w:cs="宋体"/>
    </w:rPr>
  </w:style>
  <w:style w:type="paragraph" w:customStyle="1" w:styleId="9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3">
    <w:name w:val="标题 1 Char Char"/>
    <w:qFormat/>
    <w:uiPriority w:val="0"/>
    <w:rPr>
      <w:rFonts w:ascii="宋体" w:hAnsi="宋体" w:eastAsia="宋体" w:cs="宋体"/>
      <w:b/>
      <w:bCs/>
      <w:spacing w:val="-2"/>
      <w:sz w:val="24"/>
      <w:szCs w:val="24"/>
      <w:lang w:val="en-US" w:eastAsia="zh-CN"/>
    </w:rPr>
  </w:style>
  <w:style w:type="character" w:customStyle="1" w:styleId="94">
    <w:name w:val="font51"/>
    <w:qFormat/>
    <w:uiPriority w:val="0"/>
    <w:rPr>
      <w:rFonts w:ascii="宋体" w:hAnsi="宋体" w:eastAsia="宋体" w:cs="宋体"/>
      <w:color w:val="000000"/>
      <w:sz w:val="24"/>
      <w:szCs w:val="24"/>
      <w:u w:val="none"/>
    </w:rPr>
  </w:style>
  <w:style w:type="character" w:customStyle="1" w:styleId="95">
    <w:name w:val="Style Heading 3 + Char"/>
    <w:link w:val="96"/>
    <w:qFormat/>
    <w:locked/>
    <w:uiPriority w:val="0"/>
    <w:rPr>
      <w:rFonts w:eastAsia="宋体"/>
      <w:b/>
      <w:bCs/>
      <w:kern w:val="2"/>
      <w:sz w:val="28"/>
      <w:szCs w:val="28"/>
      <w:lang w:val="en-US" w:eastAsia="zh-CN"/>
    </w:rPr>
  </w:style>
  <w:style w:type="paragraph" w:customStyle="1" w:styleId="96">
    <w:name w:val="Style Heading 3 +"/>
    <w:basedOn w:val="7"/>
    <w:link w:val="95"/>
    <w:qFormat/>
    <w:uiPriority w:val="0"/>
    <w:pPr>
      <w:adjustRightInd/>
      <w:spacing w:before="120" w:after="120" w:line="120" w:lineRule="atLeast"/>
      <w:textAlignment w:val="auto"/>
    </w:pPr>
    <w:rPr>
      <w:kern w:val="2"/>
      <w:sz w:val="28"/>
      <w:szCs w:val="28"/>
    </w:rPr>
  </w:style>
  <w:style w:type="character" w:customStyle="1" w:styleId="97">
    <w:name w:val="font11"/>
    <w:qFormat/>
    <w:uiPriority w:val="0"/>
    <w:rPr>
      <w:rFonts w:ascii="宋体" w:hAnsi="宋体" w:eastAsia="宋体" w:cs="宋体"/>
      <w:color w:val="000000"/>
      <w:sz w:val="24"/>
      <w:szCs w:val="24"/>
      <w:u w:val="none"/>
    </w:rPr>
  </w:style>
  <w:style w:type="character" w:customStyle="1" w:styleId="98">
    <w:name w:val="正文缩进 Char"/>
    <w:link w:val="16"/>
    <w:qFormat/>
    <w:locked/>
    <w:uiPriority w:val="0"/>
    <w:rPr>
      <w:kern w:val="2"/>
      <w:sz w:val="21"/>
      <w:szCs w:val="21"/>
    </w:rPr>
  </w:style>
  <w:style w:type="character" w:customStyle="1" w:styleId="99">
    <w:name w:val="font01"/>
    <w:basedOn w:val="55"/>
    <w:qFormat/>
    <w:uiPriority w:val="0"/>
    <w:rPr>
      <w:rFonts w:ascii="宋体" w:hAnsi="宋体" w:eastAsia="宋体" w:cs="宋体"/>
      <w:color w:val="FF0000"/>
      <w:sz w:val="24"/>
      <w:szCs w:val="24"/>
      <w:u w:val="none"/>
    </w:rPr>
  </w:style>
  <w:style w:type="paragraph" w:customStyle="1" w:styleId="100">
    <w:name w:val="简单回函地址"/>
    <w:basedOn w:val="1"/>
    <w:qFormat/>
    <w:uiPriority w:val="0"/>
  </w:style>
  <w:style w:type="paragraph" w:customStyle="1" w:styleId="101">
    <w:name w:val="纯文本2"/>
    <w:basedOn w:val="1"/>
    <w:qFormat/>
    <w:uiPriority w:val="99"/>
    <w:rPr>
      <w:rFonts w:ascii="宋体" w:hAnsi="Courier New" w:cs="宋体"/>
      <w:sz w:val="28"/>
      <w:szCs w:val="28"/>
    </w:rPr>
  </w:style>
  <w:style w:type="paragraph" w:customStyle="1" w:styleId="102">
    <w:name w:val="图文"/>
    <w:basedOn w:val="1"/>
    <w:qFormat/>
    <w:uiPriority w:val="0"/>
    <w:pPr>
      <w:adjustRightInd w:val="0"/>
      <w:snapToGrid w:val="0"/>
      <w:spacing w:after="50" w:line="360" w:lineRule="auto"/>
    </w:pPr>
    <w:rPr>
      <w:sz w:val="24"/>
      <w:szCs w:val="24"/>
    </w:rPr>
  </w:style>
  <w:style w:type="paragraph" w:customStyle="1" w:styleId="103">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4">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5">
    <w:name w:val="1"/>
    <w:basedOn w:val="1"/>
    <w:next w:val="27"/>
    <w:qFormat/>
    <w:uiPriority w:val="0"/>
    <w:rPr>
      <w:rFonts w:ascii="宋体" w:hAnsi="Courier New" w:cs="宋体"/>
    </w:rPr>
  </w:style>
  <w:style w:type="paragraph" w:customStyle="1" w:styleId="106">
    <w:name w:val="6"/>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7">
    <w:name w:val="Char2"/>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8">
    <w:name w:val="二级目录"/>
    <w:next w:val="1"/>
    <w:link w:val="202"/>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9">
    <w:name w:val="Char Char Char1 Char"/>
    <w:basedOn w:val="1"/>
    <w:qFormat/>
    <w:uiPriority w:val="0"/>
  </w:style>
  <w:style w:type="paragraph" w:customStyle="1" w:styleId="110">
    <w:name w:val="列出段落1"/>
    <w:basedOn w:val="1"/>
    <w:qFormat/>
    <w:uiPriority w:val="99"/>
    <w:pPr>
      <w:ind w:firstLine="420" w:firstLineChars="200"/>
    </w:pPr>
  </w:style>
  <w:style w:type="paragraph" w:customStyle="1" w:styleId="111">
    <w:name w:val="Normal_12_0"/>
    <w:qFormat/>
    <w:uiPriority w:val="99"/>
    <w:rPr>
      <w:rFonts w:ascii="黑体" w:hAnsi="黑体" w:eastAsia="黑体" w:cs="黑体"/>
      <w:b/>
      <w:bCs/>
      <w:sz w:val="32"/>
      <w:szCs w:val="32"/>
      <w:lang w:val="en-US" w:eastAsia="zh-CN" w:bidi="ar-SA"/>
    </w:rPr>
  </w:style>
  <w:style w:type="paragraph" w:customStyle="1" w:styleId="112">
    <w:name w:val="p0"/>
    <w:basedOn w:val="1"/>
    <w:qFormat/>
    <w:uiPriority w:val="0"/>
    <w:pPr>
      <w:widowControl/>
    </w:pPr>
    <w:rPr>
      <w:kern w:val="0"/>
    </w:rPr>
  </w:style>
  <w:style w:type="paragraph" w:customStyle="1" w:styleId="113">
    <w:name w:val="正文缩进2格"/>
    <w:basedOn w:val="1"/>
    <w:link w:val="137"/>
    <w:qFormat/>
    <w:uiPriority w:val="0"/>
    <w:pPr>
      <w:spacing w:line="600" w:lineRule="exact"/>
      <w:ind w:firstLine="639" w:firstLineChars="206"/>
    </w:pPr>
    <w:rPr>
      <w:rFonts w:ascii="仿宋_GB2312" w:hAnsi="宋体" w:eastAsia="仿宋_GB2312" w:cs="仿宋_GB2312"/>
      <w:sz w:val="31"/>
      <w:szCs w:val="31"/>
    </w:rPr>
  </w:style>
  <w:style w:type="paragraph" w:customStyle="1" w:styleId="114">
    <w:name w:val="列出段落11"/>
    <w:basedOn w:val="1"/>
    <w:qFormat/>
    <w:uiPriority w:val="99"/>
    <w:pPr>
      <w:ind w:firstLine="200" w:firstLineChars="200"/>
    </w:pPr>
    <w:rPr>
      <w:rFonts w:ascii="Calibri" w:hAnsi="Calibri" w:cs="Calibri"/>
    </w:rPr>
  </w:style>
  <w:style w:type="paragraph" w:customStyle="1" w:styleId="115">
    <w:name w:val="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16">
    <w:name w:val="默认段落字体 Para Char Char Char Char"/>
    <w:basedOn w:val="1"/>
    <w:qFormat/>
    <w:uiPriority w:val="0"/>
  </w:style>
  <w:style w:type="paragraph" w:customStyle="1" w:styleId="117">
    <w:name w:val="样式 标题 1 + 宋体 段前: 0 磅 段后: 0 磅 行距: 单倍行距"/>
    <w:basedOn w:val="5"/>
    <w:next w:val="1"/>
    <w:qFormat/>
    <w:uiPriority w:val="0"/>
    <w:pPr>
      <w:spacing w:beforeLines="100" w:afterLines="100"/>
    </w:pPr>
    <w:rPr>
      <w:rFonts w:ascii="仿宋_GB2312" w:hAnsi="宋体" w:cs="仿宋_GB2312"/>
    </w:rPr>
  </w:style>
  <w:style w:type="paragraph" w:customStyle="1" w:styleId="118">
    <w:name w:val="样式 标题 2 + 黑色 行距: 1.5 倍行距"/>
    <w:basedOn w:val="6"/>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9">
    <w:name w:val="List Paragraph"/>
    <w:basedOn w:val="1"/>
    <w:link w:val="208"/>
    <w:qFormat/>
    <w:uiPriority w:val="99"/>
    <w:pPr>
      <w:ind w:firstLine="420" w:firstLineChars="200"/>
    </w:pPr>
  </w:style>
  <w:style w:type="paragraph" w:customStyle="1" w:styleId="12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121">
    <w:name w:val="font21"/>
    <w:basedOn w:val="55"/>
    <w:qFormat/>
    <w:uiPriority w:val="0"/>
    <w:rPr>
      <w:rFonts w:ascii="楷体_GB2312" w:eastAsia="楷体_GB2312" w:cs="楷体_GB2312"/>
      <w:color w:val="000000"/>
      <w:sz w:val="24"/>
      <w:szCs w:val="24"/>
      <w:u w:val="none"/>
    </w:rPr>
  </w:style>
  <w:style w:type="paragraph" w:customStyle="1" w:styleId="122">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23">
    <w:name w:val="正文_0"/>
    <w:qFormat/>
    <w:uiPriority w:val="99"/>
    <w:rPr>
      <w:rFonts w:ascii="Times New Roman" w:hAnsi="Times New Roman" w:eastAsia="宋体" w:cs="Times New Roman"/>
      <w:sz w:val="21"/>
      <w:szCs w:val="21"/>
      <w:lang w:val="en-US" w:eastAsia="zh-CN" w:bidi="ar-SA"/>
    </w:rPr>
  </w:style>
  <w:style w:type="paragraph" w:customStyle="1" w:styleId="124">
    <w:name w:val="纯文本1"/>
    <w:basedOn w:val="1"/>
    <w:qFormat/>
    <w:uiPriority w:val="0"/>
    <w:pPr>
      <w:adjustRightInd w:val="0"/>
      <w:textAlignment w:val="baseline"/>
    </w:pPr>
    <w:rPr>
      <w:rFonts w:ascii="宋体" w:hAnsi="Courier New"/>
      <w:sz w:val="28"/>
    </w:rPr>
  </w:style>
  <w:style w:type="character" w:customStyle="1" w:styleId="125">
    <w:name w:val="正文缩进 Char1"/>
    <w:qFormat/>
    <w:uiPriority w:val="0"/>
    <w:rPr>
      <w:rFonts w:eastAsia="宋体"/>
      <w:kern w:val="2"/>
      <w:sz w:val="21"/>
      <w:szCs w:val="24"/>
      <w:lang w:val="en-US" w:eastAsia="zh-CN" w:bidi="ar-SA"/>
    </w:rPr>
  </w:style>
  <w:style w:type="character" w:customStyle="1" w:styleId="126">
    <w:name w:val="font71"/>
    <w:qFormat/>
    <w:uiPriority w:val="0"/>
    <w:rPr>
      <w:rFonts w:hint="eastAsia" w:ascii="宋体" w:hAnsi="宋体" w:eastAsia="宋体" w:cs="宋体"/>
      <w:b/>
      <w:color w:val="000000"/>
      <w:sz w:val="40"/>
      <w:szCs w:val="40"/>
      <w:u w:val="none"/>
    </w:rPr>
  </w:style>
  <w:style w:type="character" w:customStyle="1" w:styleId="127">
    <w:name w:val="正文文本 2 Char2"/>
    <w:link w:val="128"/>
    <w:qFormat/>
    <w:uiPriority w:val="0"/>
    <w:rPr>
      <w:rFonts w:ascii="Calibri" w:hAnsi="Calibri"/>
      <w:szCs w:val="21"/>
    </w:rPr>
  </w:style>
  <w:style w:type="paragraph" w:customStyle="1" w:styleId="128">
    <w:name w:val="正文文本 21"/>
    <w:basedOn w:val="1"/>
    <w:link w:val="127"/>
    <w:qFormat/>
    <w:uiPriority w:val="0"/>
    <w:pPr>
      <w:spacing w:before="280" w:after="120" w:line="480" w:lineRule="auto"/>
      <w:ind w:left="420" w:hanging="420"/>
    </w:pPr>
    <w:rPr>
      <w:rFonts w:ascii="Calibri" w:hAnsi="Calibri"/>
      <w:kern w:val="0"/>
      <w:sz w:val="20"/>
    </w:rPr>
  </w:style>
  <w:style w:type="character" w:customStyle="1" w:styleId="129">
    <w:name w:val="flName Char"/>
    <w:link w:val="130"/>
    <w:qFormat/>
    <w:locked/>
    <w:uiPriority w:val="0"/>
    <w:rPr>
      <w:rFonts w:ascii="Arial" w:hAnsi="Arial" w:eastAsia="黑体"/>
      <w:sz w:val="32"/>
    </w:rPr>
  </w:style>
  <w:style w:type="paragraph" w:customStyle="1" w:styleId="130">
    <w:name w:val="flName"/>
    <w:basedOn w:val="1"/>
    <w:link w:val="129"/>
    <w:qFormat/>
    <w:uiPriority w:val="0"/>
    <w:pPr>
      <w:adjustRightInd w:val="0"/>
      <w:spacing w:before="320" w:after="160" w:line="360" w:lineRule="atLeast"/>
      <w:jc w:val="center"/>
    </w:pPr>
    <w:rPr>
      <w:rFonts w:ascii="Arial" w:hAnsi="Arial" w:eastAsia="黑体"/>
      <w:kern w:val="0"/>
      <w:sz w:val="32"/>
      <w:szCs w:val="20"/>
    </w:rPr>
  </w:style>
  <w:style w:type="character" w:customStyle="1" w:styleId="131">
    <w:name w:val="Char Char4"/>
    <w:qFormat/>
    <w:uiPriority w:val="0"/>
    <w:rPr>
      <w:rFonts w:eastAsia="宋体"/>
      <w:kern w:val="2"/>
      <w:sz w:val="21"/>
      <w:szCs w:val="24"/>
      <w:lang w:val="en-US" w:eastAsia="zh-CN" w:bidi="ar-SA"/>
    </w:rPr>
  </w:style>
  <w:style w:type="character" w:customStyle="1" w:styleId="132">
    <w:name w:val="16"/>
    <w:qFormat/>
    <w:uiPriority w:val="0"/>
    <w:rPr>
      <w:rFonts w:hint="default" w:ascii="Calibri" w:hAnsi="Calibri" w:cs="Calibri"/>
      <w:color w:val="0000FF"/>
      <w:u w:val="single"/>
    </w:rPr>
  </w:style>
  <w:style w:type="character" w:customStyle="1" w:styleId="133">
    <w:name w:val="font31"/>
    <w:qFormat/>
    <w:uiPriority w:val="0"/>
    <w:rPr>
      <w:rFonts w:hint="eastAsia" w:ascii="宋体" w:hAnsi="宋体" w:eastAsia="宋体" w:cs="宋体"/>
      <w:color w:val="000000"/>
      <w:sz w:val="22"/>
      <w:szCs w:val="22"/>
      <w:u w:val="none"/>
    </w:rPr>
  </w:style>
  <w:style w:type="character" w:customStyle="1" w:styleId="134">
    <w:name w:val="font61"/>
    <w:qFormat/>
    <w:uiPriority w:val="0"/>
    <w:rPr>
      <w:rFonts w:hint="eastAsia" w:ascii="宋体" w:hAnsi="宋体" w:eastAsia="宋体" w:cs="宋体"/>
      <w:b/>
      <w:color w:val="000000"/>
      <w:sz w:val="24"/>
      <w:szCs w:val="24"/>
      <w:u w:val="none"/>
    </w:rPr>
  </w:style>
  <w:style w:type="character" w:customStyle="1" w:styleId="135">
    <w:name w:val="正文缩进2格 Char"/>
    <w:qFormat/>
    <w:uiPriority w:val="0"/>
    <w:rPr>
      <w:rFonts w:ascii="仿宋_GB2312" w:hAnsi="宋体" w:eastAsia="仿宋_GB2312"/>
      <w:kern w:val="2"/>
      <w:sz w:val="31"/>
      <w:szCs w:val="28"/>
      <w:lang w:val="en-US" w:eastAsia="zh-CN" w:bidi="ar-SA"/>
    </w:rPr>
  </w:style>
  <w:style w:type="character" w:customStyle="1" w:styleId="136">
    <w:name w:val="HTML 预设格式 Char1"/>
    <w:qFormat/>
    <w:locked/>
    <w:uiPriority w:val="0"/>
    <w:rPr>
      <w:rFonts w:ascii="Courier New" w:hAnsi="Courier New" w:eastAsia="宋体" w:cs="Times New Roman"/>
      <w:kern w:val="0"/>
      <w:sz w:val="20"/>
      <w:szCs w:val="20"/>
    </w:rPr>
  </w:style>
  <w:style w:type="character" w:customStyle="1" w:styleId="137">
    <w:name w:val="正文缩进2格 Char Char"/>
    <w:link w:val="113"/>
    <w:qFormat/>
    <w:uiPriority w:val="0"/>
    <w:rPr>
      <w:rFonts w:ascii="仿宋_GB2312" w:hAnsi="宋体" w:eastAsia="仿宋_GB2312" w:cs="仿宋_GB2312"/>
      <w:kern w:val="2"/>
      <w:sz w:val="31"/>
      <w:szCs w:val="31"/>
    </w:rPr>
  </w:style>
  <w:style w:type="character" w:customStyle="1" w:styleId="138">
    <w:name w:val="font41"/>
    <w:qFormat/>
    <w:uiPriority w:val="0"/>
    <w:rPr>
      <w:rFonts w:hint="eastAsia" w:ascii="宋体" w:hAnsi="宋体" w:eastAsia="宋体" w:cs="宋体"/>
      <w:color w:val="000000"/>
      <w:sz w:val="22"/>
      <w:szCs w:val="22"/>
      <w:u w:val="none"/>
    </w:rPr>
  </w:style>
  <w:style w:type="character" w:customStyle="1" w:styleId="139">
    <w:name w:val="无间隔 Char"/>
    <w:link w:val="140"/>
    <w:qFormat/>
    <w:uiPriority w:val="0"/>
    <w:rPr>
      <w:rFonts w:eastAsia="Times New Roman"/>
      <w:kern w:val="2"/>
      <w:sz w:val="22"/>
      <w:szCs w:val="22"/>
    </w:rPr>
  </w:style>
  <w:style w:type="paragraph" w:styleId="140">
    <w:name w:val="No Spacing"/>
    <w:link w:val="139"/>
    <w:qFormat/>
    <w:uiPriority w:val="0"/>
    <w:rPr>
      <w:rFonts w:ascii="Times New Roman" w:hAnsi="Times New Roman" w:eastAsia="Times New Roman" w:cs="Times New Roman"/>
      <w:kern w:val="2"/>
      <w:sz w:val="22"/>
      <w:szCs w:val="22"/>
      <w:lang w:val="en-US" w:eastAsia="zh-CN" w:bidi="ar-SA"/>
    </w:rPr>
  </w:style>
  <w:style w:type="paragraph" w:customStyle="1" w:styleId="1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2">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3">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5">
    <w:name w:val="列出段落2"/>
    <w:basedOn w:val="1"/>
    <w:qFormat/>
    <w:uiPriority w:val="0"/>
    <w:pPr>
      <w:ind w:firstLine="420" w:firstLineChars="200"/>
    </w:pPr>
    <w:rPr>
      <w:rFonts w:ascii="Calibri" w:hAnsi="Calibri"/>
      <w:szCs w:val="22"/>
    </w:rPr>
  </w:style>
  <w:style w:type="paragraph" w:customStyle="1" w:styleId="14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48">
    <w:name w:val="xl92"/>
    <w:basedOn w:val="1"/>
    <w:qFormat/>
    <w:uiPriority w:val="0"/>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49">
    <w:name w:val="xl6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50">
    <w:name w:val="xl64"/>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51">
    <w:name w:val="xl88"/>
    <w:basedOn w:val="1"/>
    <w:qFormat/>
    <w:uiPriority w:val="0"/>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52">
    <w:name w:val="TOC 标题1"/>
    <w:basedOn w:val="5"/>
    <w:next w:val="1"/>
    <w:qFormat/>
    <w:uiPriority w:val="0"/>
    <w:pPr>
      <w:widowControl/>
      <w:numPr>
        <w:numId w:val="0"/>
      </w:numPr>
      <w:adjustRightInd/>
      <w:spacing w:before="480" w:after="0" w:line="276" w:lineRule="auto"/>
      <w:jc w:val="left"/>
      <w:textAlignment w:val="auto"/>
      <w:outlineLvl w:val="9"/>
    </w:pPr>
    <w:rPr>
      <w:rFonts w:ascii="Cambria" w:hAnsi="Cambria" w:cs="Times New Roman"/>
      <w:color w:val="365F91"/>
      <w:kern w:val="0"/>
      <w:sz w:val="28"/>
      <w:szCs w:val="28"/>
    </w:rPr>
  </w:style>
  <w:style w:type="paragraph" w:customStyle="1" w:styleId="153">
    <w:name w:val="xl10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9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56">
    <w:name w:val="xl80"/>
    <w:basedOn w:val="1"/>
    <w:qFormat/>
    <w:uiPriority w:val="0"/>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8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58">
    <w:name w:val="xl79"/>
    <w:basedOn w:val="1"/>
    <w:qFormat/>
    <w:uiPriority w:val="0"/>
    <w:pPr>
      <w:widowControl/>
      <w:pBdr>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5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1">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62">
    <w:name w:val="xl8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3">
    <w:name w:val="xl100"/>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8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5">
    <w:name w:val="xl111"/>
    <w:basedOn w:val="1"/>
    <w:qFormat/>
    <w:uiPriority w:val="0"/>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6">
    <w:name w:val="xl87"/>
    <w:basedOn w:val="1"/>
    <w:qFormat/>
    <w:uiPriority w:val="0"/>
    <w:pPr>
      <w:widowControl/>
      <w:pBdr>
        <w:top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7">
    <w:name w:val="xl91"/>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8">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9">
    <w:name w:val="xl77"/>
    <w:basedOn w:val="1"/>
    <w:qFormat/>
    <w:uiPriority w:val="0"/>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70">
    <w:name w:val="xl9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1">
    <w:name w:val="xl1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4">
    <w:name w:val="正文样式"/>
    <w:basedOn w:val="1"/>
    <w:qFormat/>
    <w:uiPriority w:val="0"/>
    <w:pPr>
      <w:spacing w:line="440" w:lineRule="exact"/>
      <w:ind w:firstLine="200" w:firstLineChars="200"/>
    </w:pPr>
    <w:rPr>
      <w:rFonts w:ascii="仿宋_GB2312" w:eastAsia="仿宋_GB2312"/>
      <w:sz w:val="28"/>
      <w:szCs w:val="24"/>
    </w:rPr>
  </w:style>
  <w:style w:type="paragraph" w:customStyle="1" w:styleId="1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6">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7">
    <w:name w:val="xl9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80">
    <w:name w:val="xl107"/>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81">
    <w:name w:val="xl9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2">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xl65"/>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8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86">
    <w:name w:val="xl102"/>
    <w:basedOn w:val="1"/>
    <w:qFormat/>
    <w:uiPriority w:val="0"/>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7">
    <w:name w:val="xl105"/>
    <w:basedOn w:val="1"/>
    <w:qFormat/>
    <w:uiPriority w:val="0"/>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84"/>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89">
    <w:name w:val="xl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90">
    <w:name w:val="Table Paragraph"/>
    <w:basedOn w:val="1"/>
    <w:qFormat/>
    <w:uiPriority w:val="1"/>
    <w:rPr>
      <w:rFonts w:ascii="Noto Sans Mono CJK JP Regular" w:hAnsi="Noto Sans Mono CJK JP Regular" w:eastAsia="Noto Sans Mono CJK JP Regular" w:cs="Noto Sans Mono CJK JP Regular"/>
      <w:szCs w:val="24"/>
    </w:rPr>
  </w:style>
  <w:style w:type="paragraph" w:customStyle="1" w:styleId="191">
    <w:name w:val="Char"/>
    <w:basedOn w:val="1"/>
    <w:qFormat/>
    <w:uiPriority w:val="0"/>
    <w:rPr>
      <w:szCs w:val="24"/>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3">
    <w:name w:val="xl11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94">
    <w:name w:val="正文文字3"/>
    <w:basedOn w:val="21"/>
    <w:qFormat/>
    <w:uiPriority w:val="0"/>
    <w:pPr>
      <w:adjustRightInd w:val="0"/>
      <w:spacing w:line="360" w:lineRule="atLeast"/>
      <w:ind w:left="30" w:leftChars="30" w:right="30" w:rightChars="30"/>
    </w:pPr>
    <w:rPr>
      <w:kern w:val="0"/>
      <w:sz w:val="21"/>
      <w:szCs w:val="20"/>
    </w:rPr>
  </w:style>
  <w:style w:type="paragraph" w:customStyle="1" w:styleId="195">
    <w:name w:val="xl98"/>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6">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97">
    <w:name w:val="xl104"/>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8">
    <w:name w:val="xl8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9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0">
    <w:name w:val="xl82"/>
    <w:basedOn w:val="1"/>
    <w:qFormat/>
    <w:uiPriority w:val="0"/>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character" w:customStyle="1" w:styleId="202">
    <w:name w:val="二级目录 Char"/>
    <w:link w:val="108"/>
    <w:qFormat/>
    <w:locked/>
    <w:uiPriority w:val="99"/>
    <w:rPr>
      <w:b/>
      <w:bCs/>
      <w:kern w:val="2"/>
      <w:sz w:val="30"/>
      <w:szCs w:val="30"/>
    </w:rPr>
  </w:style>
  <w:style w:type="paragraph" w:customStyle="1" w:styleId="203">
    <w:name w:val="列表段落1"/>
    <w:basedOn w:val="1"/>
    <w:qFormat/>
    <w:uiPriority w:val="34"/>
    <w:pPr>
      <w:ind w:firstLine="420" w:firstLineChars="200"/>
    </w:pPr>
    <w:rPr>
      <w:szCs w:val="24"/>
    </w:rPr>
  </w:style>
  <w:style w:type="paragraph" w:customStyle="1" w:styleId="204">
    <w:name w:val="列出段落3"/>
    <w:basedOn w:val="1"/>
    <w:qFormat/>
    <w:uiPriority w:val="0"/>
    <w:pPr>
      <w:ind w:firstLine="420" w:firstLineChars="200"/>
    </w:pPr>
    <w:rPr>
      <w:szCs w:val="20"/>
    </w:rPr>
  </w:style>
  <w:style w:type="character" w:customStyle="1" w:styleId="205">
    <w:name w:val="font81"/>
    <w:basedOn w:val="55"/>
    <w:qFormat/>
    <w:uiPriority w:val="0"/>
    <w:rPr>
      <w:rFonts w:hint="eastAsia" w:ascii="仿宋" w:hAnsi="仿宋" w:eastAsia="仿宋" w:cs="仿宋"/>
      <w:b/>
      <w:bCs/>
      <w:color w:val="000000"/>
      <w:sz w:val="22"/>
      <w:szCs w:val="22"/>
      <w:u w:val="none"/>
    </w:rPr>
  </w:style>
  <w:style w:type="paragraph" w:customStyle="1" w:styleId="20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208">
    <w:name w:val="列出段落 Char"/>
    <w:link w:val="119"/>
    <w:qFormat/>
    <w:locked/>
    <w:uiPriority w:val="99"/>
    <w:rPr>
      <w:kern w:val="2"/>
      <w:sz w:val="21"/>
      <w:szCs w:val="21"/>
    </w:rPr>
  </w:style>
  <w:style w:type="paragraph" w:customStyle="1" w:styleId="209">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D0F50-CF0B-426E-B6E7-FD11F3DF18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24459</Words>
  <Characters>25050</Characters>
  <Lines>190</Lines>
  <Paragraphs>53</Paragraphs>
  <TotalTime>9</TotalTime>
  <ScaleCrop>false</ScaleCrop>
  <LinksUpToDate>false</LinksUpToDate>
  <CharactersWithSpaces>25632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2020-12-04T06:32:00Z</dcterms:created>
  <dc:creator>ql</dc:creator>
  <cp:lastModifiedBy>黑马</cp:lastModifiedBy>
  <cp:lastPrinted>2022-07-14T02:33:00Z</cp:lastPrinted>
  <dcterms:modified xsi:type="dcterms:W3CDTF">2023-03-24T04:35:03Z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1A4EB5EDEEB94A32AA237B2F7AD81922</vt:lpwstr>
  </property>
</Properties>
</file>