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napToGrid w:val="0"/>
        <w:spacing w:line="360" w:lineRule="auto"/>
        <w:ind w:firstLine="1044" w:firstLineChars="200"/>
        <w:jc w:val="center"/>
        <w:rPr>
          <w:rFonts w:eastAsia="黑体"/>
          <w:b/>
          <w:snapToGrid w:val="0"/>
          <w:sz w:val="52"/>
          <w:szCs w:val="52"/>
          <w:lang w:eastAsia="zh-CN"/>
        </w:rPr>
      </w:pPr>
    </w:p>
    <w:p>
      <w:pPr>
        <w:pStyle w:val="28"/>
        <w:snapToGrid w:val="0"/>
        <w:spacing w:line="360" w:lineRule="auto"/>
        <w:ind w:firstLine="1044" w:firstLineChars="200"/>
        <w:jc w:val="center"/>
        <w:rPr>
          <w:rFonts w:eastAsia="黑体"/>
          <w:b/>
          <w:snapToGrid w:val="0"/>
          <w:sz w:val="52"/>
          <w:szCs w:val="52"/>
          <w:lang w:eastAsia="zh-CN"/>
        </w:rPr>
      </w:pPr>
    </w:p>
    <w:p>
      <w:pPr>
        <w:pStyle w:val="28"/>
        <w:snapToGrid w:val="0"/>
        <w:spacing w:line="360" w:lineRule="auto"/>
        <w:jc w:val="center"/>
        <w:rPr>
          <w:rFonts w:hint="eastAsia" w:ascii="黑体" w:hAnsi="黑体" w:eastAsia="黑体" w:cs="黑体"/>
          <w:b/>
          <w:bCs/>
          <w:iCs/>
          <w:sz w:val="52"/>
          <w:szCs w:val="52"/>
          <w:lang w:eastAsia="zh-CN"/>
        </w:rPr>
      </w:pPr>
      <w:r>
        <w:rPr>
          <w:rFonts w:hint="eastAsia" w:ascii="黑体" w:hAnsi="黑体" w:eastAsia="黑体" w:cs="黑体"/>
          <w:b/>
          <w:bCs/>
          <w:iCs/>
          <w:sz w:val="52"/>
          <w:szCs w:val="52"/>
          <w:lang w:val="en-US" w:eastAsia="zh-CN"/>
        </w:rPr>
        <w:t>江苏大生集团部分子公司财产项目</w:t>
      </w:r>
    </w:p>
    <w:p>
      <w:pPr>
        <w:pStyle w:val="28"/>
        <w:snapToGrid w:val="0"/>
        <w:spacing w:line="360" w:lineRule="auto"/>
        <w:jc w:val="center"/>
        <w:rPr>
          <w:rFonts w:eastAsia="黑体"/>
          <w:b/>
          <w:snapToGrid w:val="0"/>
          <w:sz w:val="30"/>
          <w:szCs w:val="30"/>
          <w:lang w:eastAsia="zh-CN"/>
        </w:rPr>
      </w:pPr>
      <w:r>
        <w:rPr>
          <w:rFonts w:hAnsi="黑体" w:eastAsia="黑体"/>
          <w:b/>
          <w:bCs/>
          <w:iCs/>
          <w:spacing w:val="30"/>
          <w:sz w:val="72"/>
          <w:szCs w:val="72"/>
          <w:lang w:eastAsia="zh-CN"/>
        </w:rPr>
        <w:t>保险招标文件</w:t>
      </w: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tabs>
          <w:tab w:val="left" w:pos="6211"/>
        </w:tabs>
        <w:snapToGrid w:val="0"/>
        <w:jc w:val="left"/>
        <w:rPr>
          <w:rFonts w:hint="eastAsia" w:ascii="宋体" w:hAnsi="宋体" w:eastAsia="宋体" w:cs="宋体"/>
          <w:szCs w:val="24"/>
          <w:lang w:eastAsia="zh-CN"/>
        </w:rPr>
      </w:pPr>
      <w:r>
        <w:rPr>
          <w:rFonts w:hint="eastAsia" w:ascii="宋体" w:hAnsi="宋体" w:cs="宋体"/>
          <w:szCs w:val="24"/>
          <w:lang w:eastAsia="zh-CN"/>
        </w:rPr>
        <w:tab/>
      </w: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snapToGrid w:val="0"/>
        <w:jc w:val="center"/>
        <w:rPr>
          <w:rFonts w:ascii="宋体" w:hAnsi="宋体" w:cs="宋体"/>
          <w:szCs w:val="24"/>
          <w:lang w:eastAsia="zh-CN"/>
        </w:rPr>
      </w:pPr>
    </w:p>
    <w:p>
      <w:pPr>
        <w:pStyle w:val="28"/>
        <w:snapToGrid w:val="0"/>
        <w:jc w:val="center"/>
        <w:rPr>
          <w:b/>
          <w:snapToGrid w:val="0"/>
          <w:sz w:val="28"/>
          <w:szCs w:val="28"/>
          <w:lang w:eastAsia="zh-CN"/>
        </w:rPr>
      </w:pPr>
    </w:p>
    <w:p>
      <w:pPr>
        <w:pStyle w:val="28"/>
        <w:snapToGrid w:val="0"/>
        <w:jc w:val="center"/>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tbl>
      <w:tblPr>
        <w:tblStyle w:val="24"/>
        <w:tblW w:w="0" w:type="auto"/>
        <w:jc w:val="center"/>
        <w:tblLayout w:type="fixed"/>
        <w:tblCellMar>
          <w:top w:w="0" w:type="dxa"/>
          <w:left w:w="108" w:type="dxa"/>
          <w:bottom w:w="0" w:type="dxa"/>
          <w:right w:w="108" w:type="dxa"/>
        </w:tblCellMar>
      </w:tblPr>
      <w:tblGrid>
        <w:gridCol w:w="1792"/>
        <w:gridCol w:w="498"/>
        <w:gridCol w:w="5215"/>
      </w:tblGrid>
      <w:tr>
        <w:tblPrEx>
          <w:tblCellMar>
            <w:top w:w="0" w:type="dxa"/>
            <w:left w:w="108" w:type="dxa"/>
            <w:bottom w:w="0" w:type="dxa"/>
            <w:right w:w="108" w:type="dxa"/>
          </w:tblCellMar>
        </w:tblPrEx>
        <w:trPr>
          <w:trHeight w:val="519" w:hRule="atLeast"/>
          <w:jc w:val="center"/>
        </w:trPr>
        <w:tc>
          <w:tcPr>
            <w:tcW w:w="1792" w:type="dxa"/>
          </w:tcPr>
          <w:p>
            <w:pPr>
              <w:pStyle w:val="28"/>
              <w:snapToGrid w:val="0"/>
              <w:jc w:val="both"/>
              <w:rPr>
                <w:rFonts w:eastAsia="黑体"/>
                <w:snapToGrid w:val="0"/>
                <w:sz w:val="28"/>
                <w:szCs w:val="28"/>
                <w:lang w:eastAsia="zh-CN"/>
              </w:rPr>
            </w:pPr>
            <w:r>
              <w:rPr>
                <w:rFonts w:hAnsi="黑体" w:eastAsia="黑体"/>
                <w:snapToGrid w:val="0"/>
                <w:sz w:val="28"/>
                <w:szCs w:val="28"/>
                <w:lang w:eastAsia="zh-CN"/>
              </w:rPr>
              <w:t>招</w:t>
            </w:r>
            <w:r>
              <w:rPr>
                <w:rFonts w:hint="eastAsia" w:hAnsi="黑体" w:eastAsia="黑体"/>
                <w:snapToGrid w:val="0"/>
                <w:sz w:val="28"/>
                <w:szCs w:val="28"/>
                <w:lang w:val="en-US" w:eastAsia="zh-CN"/>
              </w:rPr>
              <w:t xml:space="preserve"> </w:t>
            </w:r>
            <w:r>
              <w:rPr>
                <w:rFonts w:hAnsi="黑体" w:eastAsia="黑体"/>
                <w:snapToGrid w:val="0"/>
                <w:sz w:val="28"/>
                <w:szCs w:val="28"/>
                <w:lang w:eastAsia="zh-CN"/>
              </w:rPr>
              <w:t>标</w:t>
            </w:r>
            <w:r>
              <w:rPr>
                <w:rFonts w:hint="eastAsia" w:hAnsi="黑体" w:eastAsia="黑体"/>
                <w:snapToGrid w:val="0"/>
                <w:sz w:val="28"/>
                <w:szCs w:val="28"/>
                <w:lang w:val="en-US" w:eastAsia="zh-CN"/>
              </w:rPr>
              <w:t xml:space="preserve"> </w:t>
            </w:r>
            <w:r>
              <w:rPr>
                <w:rFonts w:hAnsi="黑体" w:eastAsia="黑体"/>
                <w:snapToGrid w:val="0"/>
                <w:sz w:val="28"/>
                <w:szCs w:val="28"/>
                <w:lang w:eastAsia="zh-CN"/>
              </w:rPr>
              <w:t>人</w:t>
            </w:r>
          </w:p>
        </w:tc>
        <w:tc>
          <w:tcPr>
            <w:tcW w:w="498" w:type="dxa"/>
          </w:tcPr>
          <w:p>
            <w:pPr>
              <w:pStyle w:val="28"/>
              <w:snapToGrid w:val="0"/>
              <w:jc w:val="center"/>
              <w:rPr>
                <w:rFonts w:eastAsia="黑体"/>
                <w:snapToGrid w:val="0"/>
                <w:sz w:val="28"/>
                <w:szCs w:val="28"/>
                <w:lang w:eastAsia="zh-CN"/>
              </w:rPr>
            </w:pPr>
            <w:r>
              <w:rPr>
                <w:rFonts w:hAnsi="黑体" w:eastAsia="黑体"/>
                <w:snapToGrid w:val="0"/>
                <w:sz w:val="28"/>
                <w:szCs w:val="28"/>
                <w:lang w:eastAsia="zh-CN"/>
              </w:rPr>
              <w:t>：</w:t>
            </w:r>
          </w:p>
        </w:tc>
        <w:tc>
          <w:tcPr>
            <w:tcW w:w="5215" w:type="dxa"/>
          </w:tcPr>
          <w:p>
            <w:pPr>
              <w:pStyle w:val="28"/>
              <w:snapToGrid w:val="0"/>
              <w:jc w:val="both"/>
              <w:rPr>
                <w:rFonts w:hAnsi="黑体" w:eastAsia="黑体"/>
                <w:snapToGrid w:val="0"/>
                <w:sz w:val="28"/>
                <w:szCs w:val="28"/>
                <w:lang w:eastAsia="zh-CN"/>
              </w:rPr>
            </w:pPr>
            <w:r>
              <w:rPr>
                <w:rFonts w:hint="eastAsia" w:hAnsi="黑体" w:eastAsia="黑体"/>
                <w:snapToGrid w:val="0"/>
                <w:sz w:val="28"/>
                <w:szCs w:val="28"/>
                <w:lang w:val="en-US" w:eastAsia="zh-CN"/>
              </w:rPr>
              <w:t>江苏大生集团</w:t>
            </w:r>
            <w:r>
              <w:rPr>
                <w:rFonts w:hint="eastAsia" w:hAnsi="黑体" w:eastAsia="黑体"/>
                <w:snapToGrid w:val="0"/>
                <w:sz w:val="28"/>
                <w:szCs w:val="28"/>
                <w:lang w:eastAsia="zh-CN"/>
              </w:rPr>
              <w:t>有限公司</w:t>
            </w:r>
          </w:p>
        </w:tc>
      </w:tr>
      <w:tr>
        <w:tblPrEx>
          <w:tblCellMar>
            <w:top w:w="0" w:type="dxa"/>
            <w:left w:w="108" w:type="dxa"/>
            <w:bottom w:w="0" w:type="dxa"/>
            <w:right w:w="108" w:type="dxa"/>
          </w:tblCellMar>
        </w:tblPrEx>
        <w:trPr>
          <w:trHeight w:val="499" w:hRule="atLeast"/>
          <w:jc w:val="center"/>
        </w:trPr>
        <w:tc>
          <w:tcPr>
            <w:tcW w:w="1792" w:type="dxa"/>
          </w:tcPr>
          <w:p>
            <w:pPr>
              <w:pStyle w:val="28"/>
              <w:snapToGrid w:val="0"/>
              <w:jc w:val="both"/>
              <w:rPr>
                <w:rFonts w:eastAsia="黑体"/>
                <w:snapToGrid w:val="0"/>
                <w:sz w:val="28"/>
                <w:szCs w:val="28"/>
                <w:lang w:eastAsia="zh-CN"/>
              </w:rPr>
            </w:pPr>
            <w:r>
              <w:rPr>
                <w:rFonts w:hint="eastAsia" w:hAnsi="黑体" w:eastAsia="黑体"/>
                <w:snapToGrid w:val="0"/>
                <w:sz w:val="28"/>
                <w:szCs w:val="28"/>
                <w:lang w:eastAsia="zh-CN"/>
              </w:rPr>
              <w:t>保险经纪人</w:t>
            </w:r>
          </w:p>
        </w:tc>
        <w:tc>
          <w:tcPr>
            <w:tcW w:w="498" w:type="dxa"/>
          </w:tcPr>
          <w:p>
            <w:pPr>
              <w:pStyle w:val="28"/>
              <w:snapToGrid w:val="0"/>
              <w:jc w:val="center"/>
              <w:rPr>
                <w:rFonts w:eastAsia="黑体"/>
                <w:snapToGrid w:val="0"/>
                <w:sz w:val="28"/>
                <w:szCs w:val="28"/>
                <w:lang w:eastAsia="zh-CN"/>
              </w:rPr>
            </w:pPr>
            <w:r>
              <w:rPr>
                <w:rFonts w:hAnsi="黑体" w:eastAsia="黑体"/>
                <w:snapToGrid w:val="0"/>
                <w:sz w:val="28"/>
                <w:szCs w:val="28"/>
                <w:lang w:eastAsia="zh-CN"/>
              </w:rPr>
              <w:t>：</w:t>
            </w:r>
          </w:p>
        </w:tc>
        <w:tc>
          <w:tcPr>
            <w:tcW w:w="5215" w:type="dxa"/>
          </w:tcPr>
          <w:p>
            <w:pPr>
              <w:pStyle w:val="28"/>
              <w:snapToGrid w:val="0"/>
              <w:jc w:val="both"/>
              <w:rPr>
                <w:rFonts w:eastAsia="黑体"/>
                <w:snapToGrid w:val="0"/>
                <w:sz w:val="28"/>
                <w:szCs w:val="28"/>
                <w:lang w:val="en-US" w:eastAsia="zh-CN"/>
              </w:rPr>
            </w:pPr>
            <w:r>
              <w:rPr>
                <w:rFonts w:hint="eastAsia" w:eastAsia="黑体"/>
                <w:snapToGrid w:val="0"/>
                <w:sz w:val="28"/>
                <w:szCs w:val="28"/>
                <w:lang w:eastAsia="zh-CN"/>
              </w:rPr>
              <w:t>江泰保险经纪股份有限公司</w:t>
            </w:r>
            <w:r>
              <w:rPr>
                <w:rFonts w:hint="eastAsia" w:eastAsia="黑体"/>
                <w:snapToGrid w:val="0"/>
                <w:sz w:val="28"/>
                <w:szCs w:val="28"/>
                <w:lang w:val="en-US" w:eastAsia="zh-CN"/>
              </w:rPr>
              <w:t>南通分公司</w:t>
            </w:r>
          </w:p>
        </w:tc>
      </w:tr>
      <w:tr>
        <w:tblPrEx>
          <w:tblCellMar>
            <w:top w:w="0" w:type="dxa"/>
            <w:left w:w="108" w:type="dxa"/>
            <w:bottom w:w="0" w:type="dxa"/>
            <w:right w:w="108" w:type="dxa"/>
          </w:tblCellMar>
        </w:tblPrEx>
        <w:trPr>
          <w:trHeight w:val="507" w:hRule="atLeast"/>
          <w:jc w:val="center"/>
        </w:trPr>
        <w:tc>
          <w:tcPr>
            <w:tcW w:w="1792" w:type="dxa"/>
          </w:tcPr>
          <w:p>
            <w:pPr>
              <w:pStyle w:val="28"/>
              <w:snapToGrid w:val="0"/>
              <w:jc w:val="both"/>
              <w:rPr>
                <w:rFonts w:eastAsia="黑体"/>
                <w:snapToGrid w:val="0"/>
                <w:sz w:val="28"/>
                <w:szCs w:val="28"/>
                <w:lang w:eastAsia="zh-CN"/>
              </w:rPr>
            </w:pPr>
            <w:r>
              <w:rPr>
                <w:rFonts w:hAnsi="黑体" w:eastAsia="黑体"/>
                <w:snapToGrid w:val="0"/>
                <w:sz w:val="28"/>
                <w:szCs w:val="28"/>
                <w:lang w:eastAsia="zh-CN"/>
              </w:rPr>
              <w:t>招标时间</w:t>
            </w:r>
          </w:p>
        </w:tc>
        <w:tc>
          <w:tcPr>
            <w:tcW w:w="498" w:type="dxa"/>
          </w:tcPr>
          <w:p>
            <w:pPr>
              <w:pStyle w:val="28"/>
              <w:snapToGrid w:val="0"/>
              <w:jc w:val="center"/>
              <w:rPr>
                <w:rFonts w:eastAsia="黑体"/>
                <w:snapToGrid w:val="0"/>
                <w:sz w:val="28"/>
                <w:szCs w:val="28"/>
                <w:lang w:eastAsia="zh-CN"/>
              </w:rPr>
            </w:pPr>
            <w:r>
              <w:rPr>
                <w:rFonts w:hAnsi="黑体" w:eastAsia="黑体"/>
                <w:snapToGrid w:val="0"/>
                <w:sz w:val="28"/>
                <w:szCs w:val="28"/>
                <w:lang w:eastAsia="zh-CN"/>
              </w:rPr>
              <w:t>：</w:t>
            </w:r>
          </w:p>
        </w:tc>
        <w:tc>
          <w:tcPr>
            <w:tcW w:w="5215" w:type="dxa"/>
          </w:tcPr>
          <w:p>
            <w:pPr>
              <w:pStyle w:val="28"/>
              <w:snapToGrid w:val="0"/>
              <w:jc w:val="both"/>
              <w:rPr>
                <w:rFonts w:eastAsia="黑体"/>
                <w:snapToGrid w:val="0"/>
                <w:sz w:val="28"/>
                <w:szCs w:val="28"/>
                <w:lang w:eastAsia="zh-CN"/>
              </w:rPr>
            </w:pPr>
            <w:r>
              <w:rPr>
                <w:rFonts w:hint="eastAsia" w:eastAsia="黑体"/>
                <w:snapToGrid w:val="0"/>
                <w:sz w:val="28"/>
                <w:szCs w:val="28"/>
                <w:lang w:eastAsia="zh-CN"/>
              </w:rPr>
              <w:t>20</w:t>
            </w:r>
            <w:r>
              <w:rPr>
                <w:rFonts w:hint="eastAsia" w:eastAsia="黑体"/>
                <w:snapToGrid w:val="0"/>
                <w:sz w:val="28"/>
                <w:szCs w:val="28"/>
                <w:lang w:val="en-US" w:eastAsia="zh-CN"/>
              </w:rPr>
              <w:t>23</w:t>
            </w:r>
            <w:r>
              <w:rPr>
                <w:rFonts w:hint="eastAsia" w:eastAsia="黑体"/>
                <w:snapToGrid w:val="0"/>
                <w:sz w:val="28"/>
                <w:szCs w:val="28"/>
                <w:lang w:eastAsia="zh-CN"/>
              </w:rPr>
              <w:t>年</w:t>
            </w:r>
            <w:r>
              <w:rPr>
                <w:rFonts w:hint="eastAsia" w:eastAsia="黑体"/>
                <w:snapToGrid w:val="0"/>
                <w:sz w:val="28"/>
                <w:szCs w:val="28"/>
                <w:lang w:val="en-US" w:eastAsia="zh-CN"/>
              </w:rPr>
              <w:t>7</w:t>
            </w:r>
            <w:r>
              <w:rPr>
                <w:rFonts w:hint="eastAsia" w:eastAsia="黑体"/>
                <w:snapToGrid w:val="0"/>
                <w:sz w:val="28"/>
                <w:szCs w:val="28"/>
                <w:lang w:eastAsia="zh-CN"/>
              </w:rPr>
              <w:t>月</w:t>
            </w:r>
          </w:p>
        </w:tc>
      </w:tr>
    </w:tbl>
    <w:p>
      <w:pPr>
        <w:pStyle w:val="28"/>
        <w:snapToGrid w:val="0"/>
        <w:jc w:val="center"/>
        <w:rPr>
          <w:b/>
          <w:snapToGrid w:val="0"/>
          <w:sz w:val="28"/>
          <w:szCs w:val="28"/>
          <w:lang w:eastAsia="zh-CN"/>
        </w:rPr>
      </w:pPr>
    </w:p>
    <w:p>
      <w:pPr>
        <w:pStyle w:val="28"/>
        <w:snapToGrid w:val="0"/>
        <w:jc w:val="center"/>
        <w:rPr>
          <w:b/>
          <w:snapToGrid w:val="0"/>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pgNumType w:start="1"/>
          <w:cols w:space="720" w:num="1"/>
          <w:titlePg/>
        </w:sectPr>
      </w:pPr>
    </w:p>
    <w:p>
      <w:pPr>
        <w:snapToGrid w:val="0"/>
        <w:jc w:val="center"/>
        <w:rPr>
          <w:rFonts w:eastAsia="黑体"/>
          <w:b/>
          <w:sz w:val="32"/>
          <w:szCs w:val="32"/>
        </w:rPr>
      </w:pPr>
      <w:r>
        <w:rPr>
          <w:rFonts w:eastAsia="黑体"/>
          <w:b/>
          <w:sz w:val="32"/>
          <w:szCs w:val="32"/>
        </w:rPr>
        <w:t>目    录</w:t>
      </w:r>
    </w:p>
    <w:p>
      <w:pPr>
        <w:snapToGrid w:val="0"/>
        <w:spacing w:line="360" w:lineRule="auto"/>
        <w:jc w:val="center"/>
        <w:rPr>
          <w:rFonts w:eastAsia="黑体"/>
          <w:b/>
          <w:sz w:val="32"/>
          <w:szCs w:val="32"/>
        </w:rPr>
      </w:pPr>
    </w:p>
    <w:p>
      <w:pPr>
        <w:pStyle w:val="20"/>
        <w:tabs>
          <w:tab w:val="right" w:leader="dot" w:pos="8190"/>
        </w:tabs>
        <w:spacing w:line="360" w:lineRule="auto"/>
        <w:rPr>
          <w:b/>
          <w:bCs/>
        </w:rPr>
      </w:pPr>
      <w:r>
        <w:fldChar w:fldCharType="begin"/>
      </w:r>
      <w:r>
        <w:instrText xml:space="preserve">TOC \o "1-3" \h \u </w:instrText>
      </w:r>
      <w:r>
        <w:fldChar w:fldCharType="separate"/>
      </w:r>
      <w:r>
        <w:fldChar w:fldCharType="begin"/>
      </w:r>
      <w:r>
        <w:instrText xml:space="preserve"> HYPERLINK \l "_Toc16890" </w:instrText>
      </w:r>
      <w:r>
        <w:fldChar w:fldCharType="separate"/>
      </w:r>
      <w:r>
        <w:rPr>
          <w:rFonts w:hAnsi="宋体"/>
          <w:b/>
          <w:bCs/>
          <w:snapToGrid w:val="0"/>
        </w:rPr>
        <w:t>第一部分</w:t>
      </w:r>
      <w:r>
        <w:rPr>
          <w:rFonts w:hint="eastAsia" w:hAnsi="宋体"/>
          <w:b/>
          <w:bCs/>
          <w:snapToGrid w:val="0"/>
        </w:rPr>
        <w:t xml:space="preserve">  </w:t>
      </w:r>
      <w:r>
        <w:rPr>
          <w:rFonts w:hAnsi="宋体"/>
          <w:b/>
          <w:bCs/>
          <w:snapToGrid w:val="0"/>
        </w:rPr>
        <w:t>保险</w:t>
      </w:r>
      <w:r>
        <w:rPr>
          <w:rFonts w:hint="eastAsia" w:hAnsi="宋体"/>
          <w:b/>
          <w:bCs/>
          <w:snapToGrid w:val="0"/>
        </w:rPr>
        <w:t>招标公告</w:t>
      </w:r>
      <w:r>
        <w:rPr>
          <w:b/>
          <w:bCs/>
        </w:rPr>
        <w:tab/>
      </w:r>
      <w:r>
        <w:rPr>
          <w:b/>
          <w:bCs/>
        </w:rPr>
        <w:fldChar w:fldCharType="begin"/>
      </w:r>
      <w:r>
        <w:rPr>
          <w:b/>
          <w:bCs/>
        </w:rPr>
        <w:instrText xml:space="preserve"> PAGEREF _Toc16890 \h </w:instrText>
      </w:r>
      <w:r>
        <w:rPr>
          <w:b/>
          <w:bCs/>
        </w:rPr>
        <w:fldChar w:fldCharType="separate"/>
      </w:r>
      <w:r>
        <w:rPr>
          <w:b/>
          <w:bCs/>
        </w:rPr>
        <w:t>4</w:t>
      </w:r>
      <w:r>
        <w:rPr>
          <w:b/>
          <w:bCs/>
        </w:rPr>
        <w:fldChar w:fldCharType="end"/>
      </w:r>
      <w:r>
        <w:rPr>
          <w:b/>
          <w:bCs/>
        </w:rPr>
        <w:fldChar w:fldCharType="end"/>
      </w:r>
    </w:p>
    <w:p>
      <w:pPr>
        <w:pStyle w:val="20"/>
        <w:tabs>
          <w:tab w:val="right" w:leader="dot" w:pos="8190"/>
        </w:tabs>
        <w:spacing w:line="360" w:lineRule="auto"/>
        <w:rPr>
          <w:b/>
          <w:bCs/>
        </w:rPr>
      </w:pPr>
      <w:r>
        <w:fldChar w:fldCharType="begin"/>
      </w:r>
      <w:r>
        <w:instrText xml:space="preserve"> HYPERLINK \l "_Toc24010" </w:instrText>
      </w:r>
      <w:r>
        <w:fldChar w:fldCharType="separate"/>
      </w:r>
      <w:r>
        <w:rPr>
          <w:rFonts w:hAnsi="宋体"/>
          <w:b/>
          <w:bCs/>
          <w:snapToGrid w:val="0"/>
        </w:rPr>
        <w:t>第二部分  投标须知</w:t>
      </w:r>
      <w:r>
        <w:rPr>
          <w:b/>
          <w:bCs/>
        </w:rPr>
        <w:tab/>
      </w:r>
      <w:r>
        <w:rPr>
          <w:b/>
          <w:bCs/>
        </w:rPr>
        <w:fldChar w:fldCharType="begin"/>
      </w:r>
      <w:r>
        <w:rPr>
          <w:b/>
          <w:bCs/>
        </w:rPr>
        <w:instrText xml:space="preserve"> PAGEREF _Toc24010 \h </w:instrText>
      </w:r>
      <w:r>
        <w:rPr>
          <w:b/>
          <w:bCs/>
        </w:rPr>
        <w:fldChar w:fldCharType="separate"/>
      </w:r>
      <w:r>
        <w:rPr>
          <w:b/>
          <w:bCs/>
        </w:rPr>
        <w:t>6</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"_Toc10558" </w:instrText>
      </w:r>
      <w:r>
        <w:fldChar w:fldCharType="separate"/>
      </w:r>
      <w:r>
        <w:rPr>
          <w:szCs w:val="28"/>
        </w:rPr>
        <w:t>前附表</w:t>
      </w:r>
      <w:r>
        <w:tab/>
      </w:r>
      <w:r>
        <w:fldChar w:fldCharType="begin"/>
      </w:r>
      <w:r>
        <w:instrText xml:space="preserve"> PAGEREF _Toc10558 \h </w:instrText>
      </w:r>
      <w:r>
        <w:fldChar w:fldCharType="separate"/>
      </w:r>
      <w:r>
        <w:t>6</w:t>
      </w:r>
      <w:r>
        <w:fldChar w:fldCharType="end"/>
      </w:r>
      <w:r>
        <w:fldChar w:fldCharType="end"/>
      </w:r>
    </w:p>
    <w:p>
      <w:pPr>
        <w:pStyle w:val="13"/>
        <w:tabs>
          <w:tab w:val="right" w:leader="dot" w:pos="8190"/>
        </w:tabs>
        <w:spacing w:line="360" w:lineRule="auto"/>
      </w:pPr>
      <w:r>
        <w:fldChar w:fldCharType="begin"/>
      </w:r>
      <w:r>
        <w:instrText xml:space="preserve"> HYPERLINK \l "_Toc6508" </w:instrText>
      </w:r>
      <w:r>
        <w:fldChar w:fldCharType="separate"/>
      </w:r>
      <w:r>
        <w:rPr>
          <w:szCs w:val="28"/>
        </w:rPr>
        <w:t>一、总  则</w:t>
      </w:r>
      <w:r>
        <w:tab/>
      </w:r>
      <w:r>
        <w:fldChar w:fldCharType="begin"/>
      </w:r>
      <w:r>
        <w:instrText xml:space="preserve"> PAGEREF _Toc6508 \h </w:instrText>
      </w:r>
      <w:r>
        <w:fldChar w:fldCharType="separate"/>
      </w:r>
      <w:r>
        <w:t>7</w:t>
      </w:r>
      <w:r>
        <w:fldChar w:fldCharType="end"/>
      </w:r>
      <w:r>
        <w:fldChar w:fldCharType="end"/>
      </w:r>
    </w:p>
    <w:p>
      <w:pPr>
        <w:pStyle w:val="13"/>
        <w:tabs>
          <w:tab w:val="right" w:leader="dot" w:pos="8190"/>
        </w:tabs>
        <w:spacing w:line="360" w:lineRule="auto"/>
      </w:pPr>
      <w:r>
        <w:fldChar w:fldCharType="begin"/>
      </w:r>
      <w:r>
        <w:instrText xml:space="preserve"> HYPERLINK \l "_Toc949" </w:instrText>
      </w:r>
      <w:r>
        <w:fldChar w:fldCharType="separate"/>
      </w:r>
      <w:r>
        <w:rPr>
          <w:szCs w:val="28"/>
        </w:rPr>
        <w:t>二、招  标</w:t>
      </w:r>
      <w:r>
        <w:tab/>
      </w:r>
      <w:r>
        <w:fldChar w:fldCharType="begin"/>
      </w:r>
      <w:r>
        <w:instrText xml:space="preserve"> PAGEREF _Toc949 \h </w:instrText>
      </w:r>
      <w:r>
        <w:fldChar w:fldCharType="separate"/>
      </w:r>
      <w:r>
        <w:t>8</w:t>
      </w:r>
      <w:r>
        <w:fldChar w:fldCharType="end"/>
      </w:r>
      <w:r>
        <w:fldChar w:fldCharType="end"/>
      </w:r>
    </w:p>
    <w:p>
      <w:pPr>
        <w:pStyle w:val="13"/>
        <w:tabs>
          <w:tab w:val="right" w:leader="dot" w:pos="8190"/>
        </w:tabs>
        <w:spacing w:line="360" w:lineRule="auto"/>
      </w:pPr>
      <w:r>
        <w:fldChar w:fldCharType="begin"/>
      </w:r>
      <w:r>
        <w:instrText xml:space="preserve"> HYPERLINK \l "_Toc15635" </w:instrText>
      </w:r>
      <w:r>
        <w:fldChar w:fldCharType="separate"/>
      </w:r>
      <w:r>
        <w:rPr>
          <w:szCs w:val="28"/>
        </w:rPr>
        <w:t>三、投  标</w:t>
      </w:r>
      <w:r>
        <w:tab/>
      </w:r>
      <w:r>
        <w:fldChar w:fldCharType="begin"/>
      </w:r>
      <w:r>
        <w:instrText xml:space="preserve"> PAGEREF _Toc15635 \h </w:instrText>
      </w:r>
      <w:r>
        <w:fldChar w:fldCharType="separate"/>
      </w:r>
      <w:r>
        <w:t>9</w:t>
      </w:r>
      <w:r>
        <w:fldChar w:fldCharType="end"/>
      </w:r>
      <w:r>
        <w:fldChar w:fldCharType="end"/>
      </w:r>
    </w:p>
    <w:p>
      <w:pPr>
        <w:pStyle w:val="13"/>
        <w:tabs>
          <w:tab w:val="right" w:leader="dot" w:pos="8190"/>
        </w:tabs>
        <w:spacing w:line="360" w:lineRule="auto"/>
      </w:pPr>
      <w:r>
        <w:fldChar w:fldCharType="begin"/>
      </w:r>
      <w:r>
        <w:instrText xml:space="preserve"> HYPERLINK \l "_Toc28222" </w:instrText>
      </w:r>
      <w:r>
        <w:fldChar w:fldCharType="separate"/>
      </w:r>
      <w:r>
        <w:rPr>
          <w:szCs w:val="28"/>
        </w:rPr>
        <w:t>四、投标文件的编制</w:t>
      </w:r>
      <w:r>
        <w:tab/>
      </w:r>
      <w:r>
        <w:fldChar w:fldCharType="begin"/>
      </w:r>
      <w:r>
        <w:instrText xml:space="preserve"> PAGEREF _Toc28222 \h </w:instrText>
      </w:r>
      <w:r>
        <w:fldChar w:fldCharType="separate"/>
      </w:r>
      <w:r>
        <w:t>9</w:t>
      </w:r>
      <w:r>
        <w:fldChar w:fldCharType="end"/>
      </w:r>
      <w:r>
        <w:fldChar w:fldCharType="end"/>
      </w:r>
    </w:p>
    <w:p>
      <w:pPr>
        <w:pStyle w:val="13"/>
        <w:tabs>
          <w:tab w:val="right" w:leader="dot" w:pos="8190"/>
        </w:tabs>
        <w:spacing w:line="360" w:lineRule="auto"/>
      </w:pPr>
      <w:r>
        <w:fldChar w:fldCharType="begin"/>
      </w:r>
      <w:r>
        <w:instrText xml:space="preserve"> HYPERLINK \l "_Toc12570" </w:instrText>
      </w:r>
      <w:r>
        <w:fldChar w:fldCharType="separate"/>
      </w:r>
      <w:r>
        <w:rPr>
          <w:szCs w:val="28"/>
        </w:rPr>
        <w:t>五、投标文件的递交</w:t>
      </w:r>
      <w:r>
        <w:tab/>
      </w:r>
      <w:r>
        <w:fldChar w:fldCharType="begin"/>
      </w:r>
      <w:r>
        <w:instrText xml:space="preserve"> PAGEREF _Toc12570 \h </w:instrText>
      </w:r>
      <w:r>
        <w:fldChar w:fldCharType="separate"/>
      </w:r>
      <w:r>
        <w:t>10</w:t>
      </w:r>
      <w:r>
        <w:fldChar w:fldCharType="end"/>
      </w:r>
      <w:r>
        <w:fldChar w:fldCharType="end"/>
      </w:r>
    </w:p>
    <w:p>
      <w:pPr>
        <w:pStyle w:val="13"/>
        <w:tabs>
          <w:tab w:val="right" w:leader="dot" w:pos="8190"/>
        </w:tabs>
        <w:spacing w:line="360" w:lineRule="auto"/>
      </w:pPr>
      <w:r>
        <w:fldChar w:fldCharType="begin"/>
      </w:r>
      <w:r>
        <w:instrText xml:space="preserve"> HYPERLINK \l "_Toc23258" </w:instrText>
      </w:r>
      <w:r>
        <w:fldChar w:fldCharType="separate"/>
      </w:r>
      <w:r>
        <w:rPr>
          <w:szCs w:val="28"/>
        </w:rPr>
        <w:t>六、开  标</w:t>
      </w:r>
      <w:r>
        <w:tab/>
      </w:r>
      <w:r>
        <w:fldChar w:fldCharType="begin"/>
      </w:r>
      <w:r>
        <w:instrText xml:space="preserve"> PAGEREF _Toc23258 \h </w:instrText>
      </w:r>
      <w:r>
        <w:fldChar w:fldCharType="separate"/>
      </w:r>
      <w:r>
        <w:t>11</w:t>
      </w:r>
      <w:r>
        <w:fldChar w:fldCharType="end"/>
      </w:r>
      <w:r>
        <w:fldChar w:fldCharType="end"/>
      </w:r>
    </w:p>
    <w:p>
      <w:pPr>
        <w:pStyle w:val="13"/>
        <w:tabs>
          <w:tab w:val="right" w:leader="dot" w:pos="8190"/>
        </w:tabs>
        <w:spacing w:line="360" w:lineRule="auto"/>
      </w:pPr>
      <w:r>
        <w:fldChar w:fldCharType="begin"/>
      </w:r>
      <w:r>
        <w:instrText xml:space="preserve"> HYPERLINK \l "_Toc26191" </w:instrText>
      </w:r>
      <w:r>
        <w:fldChar w:fldCharType="separate"/>
      </w:r>
      <w:r>
        <w:rPr>
          <w:szCs w:val="28"/>
        </w:rPr>
        <w:t>七、评标</w:t>
      </w:r>
      <w:r>
        <w:rPr>
          <w:rFonts w:hint="eastAsia"/>
          <w:szCs w:val="28"/>
        </w:rPr>
        <w:t>、定标</w:t>
      </w:r>
      <w:r>
        <w:tab/>
      </w:r>
      <w:r>
        <w:fldChar w:fldCharType="begin"/>
      </w:r>
      <w:r>
        <w:instrText xml:space="preserve"> PAGEREF _Toc26191 \h </w:instrText>
      </w:r>
      <w:r>
        <w:fldChar w:fldCharType="separate"/>
      </w:r>
      <w:r>
        <w:t>12</w:t>
      </w:r>
      <w:r>
        <w:fldChar w:fldCharType="end"/>
      </w:r>
      <w:r>
        <w:fldChar w:fldCharType="end"/>
      </w:r>
    </w:p>
    <w:p>
      <w:pPr>
        <w:pStyle w:val="13"/>
        <w:tabs>
          <w:tab w:val="right" w:leader="dot" w:pos="8190"/>
        </w:tabs>
        <w:spacing w:line="360" w:lineRule="auto"/>
      </w:pPr>
      <w:r>
        <w:fldChar w:fldCharType="begin"/>
      </w:r>
      <w:r>
        <w:instrText xml:space="preserve"> HYPERLINK \l "_Toc19140" </w:instrText>
      </w:r>
      <w:r>
        <w:fldChar w:fldCharType="separate"/>
      </w:r>
      <w:r>
        <w:rPr>
          <w:szCs w:val="28"/>
        </w:rPr>
        <w:t>八、授予保险合同</w:t>
      </w:r>
      <w:r>
        <w:tab/>
      </w:r>
      <w:r>
        <w:fldChar w:fldCharType="begin"/>
      </w:r>
      <w:r>
        <w:instrText xml:space="preserve"> PAGEREF _Toc19140 \h </w:instrText>
      </w:r>
      <w:r>
        <w:fldChar w:fldCharType="separate"/>
      </w:r>
      <w:r>
        <w:t>12</w:t>
      </w:r>
      <w:r>
        <w:fldChar w:fldCharType="end"/>
      </w:r>
      <w:r>
        <w:fldChar w:fldCharType="end"/>
      </w:r>
    </w:p>
    <w:p>
      <w:pPr>
        <w:pStyle w:val="20"/>
        <w:tabs>
          <w:tab w:val="right" w:leader="dot" w:pos="8190"/>
        </w:tabs>
        <w:spacing w:line="360" w:lineRule="auto"/>
        <w:rPr>
          <w:b/>
          <w:bCs/>
        </w:rPr>
      </w:pPr>
      <w:r>
        <w:fldChar w:fldCharType="begin"/>
      </w:r>
      <w:r>
        <w:instrText xml:space="preserve"> HYPERLINK \l "_Toc26134" </w:instrText>
      </w:r>
      <w:r>
        <w:fldChar w:fldCharType="separate"/>
      </w:r>
      <w:r>
        <w:rPr>
          <w:rFonts w:hAnsi="宋体"/>
          <w:b/>
          <w:bCs/>
          <w:snapToGrid w:val="0"/>
        </w:rPr>
        <w:t>第三</w:t>
      </w:r>
      <w:r>
        <w:rPr>
          <w:b/>
          <w:bCs/>
          <w:snapToGrid w:val="0"/>
        </w:rPr>
        <w:t>部分  保险合同条款</w:t>
      </w:r>
      <w:r>
        <w:rPr>
          <w:b/>
          <w:bCs/>
        </w:rPr>
        <w:tab/>
      </w:r>
      <w:r>
        <w:rPr>
          <w:b/>
          <w:bCs/>
        </w:rPr>
        <w:fldChar w:fldCharType="begin"/>
      </w:r>
      <w:r>
        <w:rPr>
          <w:b/>
          <w:bCs/>
        </w:rPr>
        <w:instrText xml:space="preserve"> PAGEREF _Toc26134 \h </w:instrText>
      </w:r>
      <w:r>
        <w:rPr>
          <w:b/>
          <w:bCs/>
        </w:rPr>
        <w:fldChar w:fldCharType="separate"/>
      </w:r>
      <w:r>
        <w:rPr>
          <w:b/>
          <w:bCs/>
        </w:rPr>
        <w:t>14</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"_Toc25217" </w:instrText>
      </w:r>
      <w:r>
        <w:fldChar w:fldCharType="separate"/>
      </w:r>
      <w:r>
        <w:rPr>
          <w:szCs w:val="28"/>
        </w:rPr>
        <w:t>第一节 保险方案及条款明细</w:t>
      </w:r>
      <w:r>
        <w:tab/>
      </w:r>
      <w:r>
        <w:fldChar w:fldCharType="begin"/>
      </w:r>
      <w:r>
        <w:instrText xml:space="preserve"> PAGEREF _Toc25217 \h </w:instrText>
      </w:r>
      <w:r>
        <w:fldChar w:fldCharType="separate"/>
      </w:r>
      <w:r>
        <w:t>14</w:t>
      </w:r>
      <w:r>
        <w:fldChar w:fldCharType="end"/>
      </w:r>
      <w:r>
        <w:fldChar w:fldCharType="end"/>
      </w:r>
    </w:p>
    <w:p>
      <w:pPr>
        <w:pStyle w:val="13"/>
        <w:tabs>
          <w:tab w:val="right" w:leader="dot" w:pos="8190"/>
        </w:tabs>
        <w:spacing w:line="360" w:lineRule="auto"/>
      </w:pPr>
      <w:r>
        <w:fldChar w:fldCharType="begin"/>
      </w:r>
      <w:r>
        <w:instrText xml:space="preserve"> HYPERLINK \l "_Toc18635" </w:instrText>
      </w:r>
      <w:r>
        <w:fldChar w:fldCharType="separate"/>
      </w:r>
      <w:r>
        <w:rPr>
          <w:szCs w:val="28"/>
        </w:rPr>
        <w:t>第二节 保险协议（样本）</w:t>
      </w:r>
      <w:r>
        <w:tab/>
      </w:r>
      <w:r>
        <w:fldChar w:fldCharType="begin"/>
      </w:r>
      <w:r>
        <w:instrText xml:space="preserve"> PAGEREF _Toc18635 \h </w:instrText>
      </w:r>
      <w:r>
        <w:fldChar w:fldCharType="separate"/>
      </w:r>
      <w:r>
        <w:t>59</w:t>
      </w:r>
      <w:r>
        <w:fldChar w:fldCharType="end"/>
      </w:r>
      <w:r>
        <w:fldChar w:fldCharType="end"/>
      </w:r>
    </w:p>
    <w:p>
      <w:pPr>
        <w:pStyle w:val="20"/>
        <w:tabs>
          <w:tab w:val="right" w:leader="dot" w:pos="8190"/>
        </w:tabs>
        <w:spacing w:line="360" w:lineRule="auto"/>
        <w:rPr>
          <w:b/>
          <w:bCs/>
        </w:rPr>
      </w:pPr>
      <w:r>
        <w:fldChar w:fldCharType="begin"/>
      </w:r>
      <w:r>
        <w:instrText xml:space="preserve"> HYPERLINK \l "_Toc28477" </w:instrText>
      </w:r>
      <w:r>
        <w:fldChar w:fldCharType="separate"/>
      </w:r>
      <w:r>
        <w:rPr>
          <w:b/>
          <w:bCs/>
        </w:rPr>
        <w:t>第四部分  投标文件编制格式</w:t>
      </w:r>
      <w:r>
        <w:rPr>
          <w:b/>
          <w:bCs/>
        </w:rPr>
        <w:tab/>
      </w:r>
      <w:r>
        <w:rPr>
          <w:b/>
          <w:bCs/>
        </w:rPr>
        <w:fldChar w:fldCharType="begin"/>
      </w:r>
      <w:r>
        <w:rPr>
          <w:b/>
          <w:bCs/>
        </w:rPr>
        <w:instrText xml:space="preserve"> PAGEREF _Toc28477 \h </w:instrText>
      </w:r>
      <w:r>
        <w:rPr>
          <w:b/>
          <w:bCs/>
        </w:rPr>
        <w:fldChar w:fldCharType="separate"/>
      </w:r>
      <w:r>
        <w:rPr>
          <w:b/>
          <w:bCs/>
        </w:rPr>
        <w:t>68</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"_Toc28712" </w:instrText>
      </w:r>
      <w:r>
        <w:fldChar w:fldCharType="separate"/>
      </w:r>
      <w:r>
        <w:rPr>
          <w:szCs w:val="28"/>
        </w:rPr>
        <w:t>一、投标报价书</w:t>
      </w:r>
      <w:r>
        <w:tab/>
      </w:r>
      <w:r>
        <w:fldChar w:fldCharType="begin"/>
      </w:r>
      <w:r>
        <w:instrText xml:space="preserve"> PAGEREF _Toc28712 \h </w:instrText>
      </w:r>
      <w:r>
        <w:fldChar w:fldCharType="separate"/>
      </w:r>
      <w:r>
        <w:t>69</w:t>
      </w:r>
      <w:r>
        <w:fldChar w:fldCharType="end"/>
      </w:r>
      <w:r>
        <w:fldChar w:fldCharType="end"/>
      </w:r>
    </w:p>
    <w:p>
      <w:pPr>
        <w:pStyle w:val="13"/>
        <w:tabs>
          <w:tab w:val="right" w:leader="dot" w:pos="8190"/>
        </w:tabs>
        <w:spacing w:line="360" w:lineRule="auto"/>
      </w:pPr>
      <w:r>
        <w:fldChar w:fldCharType="begin"/>
      </w:r>
      <w:r>
        <w:instrText xml:space="preserve"> HYPERLINK \l "_Toc28712" </w:instrText>
      </w:r>
      <w:r>
        <w:fldChar w:fldCharType="separate"/>
      </w:r>
      <w:r>
        <w:rPr>
          <w:rFonts w:hint="eastAsia" w:ascii="宋体" w:hAnsi="宋体"/>
          <w:snapToGrid w:val="0"/>
          <w:kern w:val="0"/>
          <w:szCs w:val="28"/>
        </w:rPr>
        <w:t>二</w:t>
      </w:r>
      <w:r>
        <w:rPr>
          <w:szCs w:val="28"/>
        </w:rPr>
        <w:t>、</w:t>
      </w:r>
      <w:r>
        <w:rPr>
          <w:rFonts w:hint="eastAsia"/>
          <w:szCs w:val="28"/>
        </w:rPr>
        <w:t>投标承诺函</w:t>
      </w:r>
      <w:r>
        <w:tab/>
      </w:r>
      <w:r>
        <w:rPr>
          <w:rFonts w:hint="eastAsia"/>
        </w:rPr>
        <w:t>7</w:t>
      </w:r>
      <w:r>
        <w:rPr>
          <w:rFonts w:hint="eastAsia"/>
        </w:rPr>
        <w:fldChar w:fldCharType="end"/>
      </w:r>
      <w:r>
        <w:rPr>
          <w:rFonts w:hint="eastAsia" w:ascii="宋体" w:hAnsi="宋体"/>
          <w:snapToGrid w:val="0"/>
          <w:kern w:val="0"/>
          <w:szCs w:val="28"/>
        </w:rPr>
        <w:t>0</w:t>
      </w:r>
    </w:p>
    <w:p>
      <w:pPr>
        <w:pStyle w:val="13"/>
        <w:tabs>
          <w:tab w:val="right" w:leader="dot" w:pos="8190"/>
        </w:tabs>
        <w:spacing w:line="360" w:lineRule="auto"/>
      </w:pPr>
      <w:r>
        <w:fldChar w:fldCharType="begin"/>
      </w:r>
      <w:r>
        <w:instrText xml:space="preserve"> HYPERLINK \l "_Toc20892" </w:instrText>
      </w:r>
      <w:r>
        <w:fldChar w:fldCharType="separate"/>
      </w:r>
      <w:r>
        <w:rPr>
          <w:szCs w:val="28"/>
        </w:rPr>
        <w:t>三、法定代表人授权书</w:t>
      </w:r>
      <w:r>
        <w:tab/>
      </w:r>
      <w:r>
        <w:fldChar w:fldCharType="begin"/>
      </w:r>
      <w:r>
        <w:instrText xml:space="preserve"> PAGEREF _Toc20892 \h </w:instrText>
      </w:r>
      <w:r>
        <w:fldChar w:fldCharType="separate"/>
      </w:r>
      <w:r>
        <w:t>71</w:t>
      </w:r>
      <w:r>
        <w:fldChar w:fldCharType="end"/>
      </w:r>
      <w:r>
        <w:fldChar w:fldCharType="end"/>
      </w:r>
    </w:p>
    <w:p>
      <w:pPr>
        <w:pStyle w:val="13"/>
        <w:tabs>
          <w:tab w:val="right" w:leader="dot" w:pos="8190"/>
        </w:tabs>
        <w:spacing w:line="360" w:lineRule="auto"/>
      </w:pPr>
      <w:r>
        <w:fldChar w:fldCharType="begin"/>
      </w:r>
      <w:r>
        <w:instrText xml:space="preserve"> HYPERLINK \l "_Toc3000" </w:instrText>
      </w:r>
      <w:r>
        <w:fldChar w:fldCharType="separate"/>
      </w:r>
      <w:r>
        <w:rPr>
          <w:szCs w:val="28"/>
        </w:rPr>
        <w:t>四、差异条件汇总表</w:t>
      </w:r>
      <w:r>
        <w:tab/>
      </w:r>
      <w:r>
        <w:fldChar w:fldCharType="begin"/>
      </w:r>
      <w:r>
        <w:instrText xml:space="preserve"> PAGEREF _Toc3000 \h </w:instrText>
      </w:r>
      <w:r>
        <w:fldChar w:fldCharType="separate"/>
      </w:r>
      <w:r>
        <w:t>72</w:t>
      </w:r>
      <w:r>
        <w:fldChar w:fldCharType="end"/>
      </w:r>
      <w:r>
        <w:fldChar w:fldCharType="end"/>
      </w:r>
    </w:p>
    <w:p>
      <w:pPr>
        <w:pStyle w:val="13"/>
        <w:tabs>
          <w:tab w:val="right" w:leader="dot" w:pos="8190"/>
        </w:tabs>
        <w:spacing w:line="360" w:lineRule="auto"/>
      </w:pPr>
      <w:r>
        <w:fldChar w:fldCharType="begin"/>
      </w:r>
      <w:r>
        <w:instrText xml:space="preserve"> HYPERLINK \l "_Toc3369" </w:instrText>
      </w:r>
      <w:r>
        <w:fldChar w:fldCharType="separate"/>
      </w:r>
      <w:r>
        <w:rPr>
          <w:szCs w:val="28"/>
        </w:rPr>
        <w:t>五、优惠条件汇总表</w:t>
      </w:r>
      <w:r>
        <w:tab/>
      </w:r>
      <w:r>
        <w:fldChar w:fldCharType="begin"/>
      </w:r>
      <w:r>
        <w:instrText xml:space="preserve"> PAGEREF _Toc3369 \h </w:instrText>
      </w:r>
      <w:r>
        <w:fldChar w:fldCharType="separate"/>
      </w:r>
      <w:r>
        <w:t>73</w:t>
      </w:r>
      <w:r>
        <w:fldChar w:fldCharType="end"/>
      </w:r>
      <w:r>
        <w:fldChar w:fldCharType="end"/>
      </w:r>
    </w:p>
    <w:p>
      <w:pPr>
        <w:pStyle w:val="13"/>
        <w:tabs>
          <w:tab w:val="right" w:leader="dot" w:pos="8190"/>
        </w:tabs>
        <w:spacing w:line="360" w:lineRule="auto"/>
        <w:rPr>
          <w:rFonts w:ascii="宋体" w:hAnsi="宋体"/>
          <w:snapToGrid w:val="0"/>
          <w:kern w:val="0"/>
          <w:szCs w:val="28"/>
        </w:rPr>
      </w:pPr>
      <w:r>
        <w:fldChar w:fldCharType="begin"/>
      </w:r>
      <w:r>
        <w:instrText xml:space="preserve"> HYPERLINK \l "_Toc22520" </w:instrText>
      </w:r>
      <w:r>
        <w:fldChar w:fldCharType="separate"/>
      </w:r>
      <w:r>
        <w:rPr>
          <w:szCs w:val="28"/>
        </w:rPr>
        <w:t>六、保险服务承诺</w:t>
      </w:r>
      <w:r>
        <w:tab/>
      </w:r>
      <w:r>
        <w:fldChar w:fldCharType="begin"/>
      </w:r>
      <w:r>
        <w:instrText xml:space="preserve"> PAGEREF _Toc22520 \h </w:instrText>
      </w:r>
      <w:r>
        <w:fldChar w:fldCharType="separate"/>
      </w:r>
      <w:r>
        <w:t>74</w:t>
      </w:r>
      <w:r>
        <w:fldChar w:fldCharType="end"/>
      </w:r>
      <w:r>
        <w:fldChar w:fldCharType="end"/>
      </w:r>
    </w:p>
    <w:p>
      <w:pPr>
        <w:pStyle w:val="13"/>
        <w:tabs>
          <w:tab w:val="right" w:leader="dot" w:pos="8190"/>
        </w:tabs>
        <w:spacing w:line="360" w:lineRule="auto"/>
      </w:pPr>
      <w:r>
        <w:fldChar w:fldCharType="begin"/>
      </w:r>
      <w:r>
        <w:instrText xml:space="preserve"> HYPERLINK \l "_Toc11990" </w:instrText>
      </w:r>
      <w:r>
        <w:fldChar w:fldCharType="separate"/>
      </w:r>
      <w:r>
        <w:rPr>
          <w:rFonts w:hint="eastAsia"/>
          <w:szCs w:val="28"/>
        </w:rPr>
        <w:t>七</w:t>
      </w:r>
      <w:r>
        <w:rPr>
          <w:szCs w:val="28"/>
        </w:rPr>
        <w:t>、</w:t>
      </w:r>
      <w:r>
        <w:rPr>
          <w:rFonts w:hint="eastAsia"/>
          <w:szCs w:val="28"/>
        </w:rPr>
        <w:t>保险</w:t>
      </w:r>
      <w:r>
        <w:rPr>
          <w:szCs w:val="28"/>
        </w:rPr>
        <w:t>经纪佣金确认函</w:t>
      </w:r>
      <w:r>
        <w:tab/>
      </w:r>
      <w:r>
        <w:fldChar w:fldCharType="begin"/>
      </w:r>
      <w:r>
        <w:instrText xml:space="preserve"> PAGEREF _Toc11990 \h </w:instrText>
      </w:r>
      <w:r>
        <w:fldChar w:fldCharType="separate"/>
      </w:r>
      <w:r>
        <w:t>76</w:t>
      </w:r>
      <w:r>
        <w:fldChar w:fldCharType="end"/>
      </w:r>
      <w:r>
        <w:fldChar w:fldCharType="end"/>
      </w:r>
    </w:p>
    <w:p>
      <w:pPr>
        <w:pStyle w:val="13"/>
        <w:tabs>
          <w:tab w:val="right" w:leader="dot" w:pos="8190"/>
        </w:tabs>
        <w:spacing w:line="360" w:lineRule="auto"/>
      </w:pPr>
      <w:r>
        <w:fldChar w:fldCharType="begin"/>
      </w:r>
      <w:r>
        <w:instrText xml:space="preserve"> HYPERLINK \l "_Toc22091" </w:instrText>
      </w:r>
      <w:r>
        <w:fldChar w:fldCharType="separate"/>
      </w:r>
      <w:r>
        <w:rPr>
          <w:rFonts w:hint="eastAsia"/>
          <w:szCs w:val="28"/>
        </w:rPr>
        <w:t>八</w:t>
      </w:r>
      <w:r>
        <w:rPr>
          <w:szCs w:val="28"/>
        </w:rPr>
        <w:t>、公司资信及承保理赔情况汇总表</w:t>
      </w:r>
      <w:r>
        <w:tab/>
      </w:r>
      <w:r>
        <w:fldChar w:fldCharType="begin"/>
      </w:r>
      <w:r>
        <w:instrText xml:space="preserve"> PAGEREF _Toc22091 \h </w:instrText>
      </w:r>
      <w:r>
        <w:fldChar w:fldCharType="separate"/>
      </w:r>
      <w:r>
        <w:t>77</w:t>
      </w:r>
      <w:r>
        <w:fldChar w:fldCharType="end"/>
      </w:r>
      <w:r>
        <w:fldChar w:fldCharType="end"/>
      </w:r>
    </w:p>
    <w:p>
      <w:pPr>
        <w:pStyle w:val="13"/>
        <w:tabs>
          <w:tab w:val="right" w:leader="dot" w:pos="8190"/>
        </w:tabs>
        <w:spacing w:line="360" w:lineRule="auto"/>
      </w:pPr>
      <w:r>
        <w:fldChar w:fldCharType="begin"/>
      </w:r>
      <w:r>
        <w:instrText xml:space="preserve"> HYPERLINK \l "_Toc9716" </w:instrText>
      </w:r>
      <w:r>
        <w:fldChar w:fldCharType="separate"/>
      </w:r>
      <w:r>
        <w:rPr>
          <w:rFonts w:hint="eastAsia"/>
          <w:szCs w:val="28"/>
        </w:rPr>
        <w:t>九</w:t>
      </w:r>
      <w:r>
        <w:rPr>
          <w:szCs w:val="28"/>
        </w:rPr>
        <w:t>、近</w:t>
      </w:r>
      <w:r>
        <w:rPr>
          <w:rFonts w:hint="eastAsia"/>
          <w:szCs w:val="28"/>
        </w:rPr>
        <w:t>三</w:t>
      </w:r>
      <w:r>
        <w:rPr>
          <w:szCs w:val="28"/>
        </w:rPr>
        <w:t>年（20</w:t>
      </w:r>
      <w:r>
        <w:rPr>
          <w:rFonts w:hint="eastAsia"/>
          <w:szCs w:val="28"/>
          <w:lang w:val="en-US" w:eastAsia="zh-CN"/>
        </w:rPr>
        <w:t>20</w:t>
      </w:r>
      <w:r>
        <w:rPr>
          <w:szCs w:val="28"/>
        </w:rPr>
        <w:t>年以来）同类项目经验列表</w:t>
      </w:r>
      <w:r>
        <w:tab/>
      </w:r>
      <w:r>
        <w:fldChar w:fldCharType="begin"/>
      </w:r>
      <w:r>
        <w:instrText xml:space="preserve"> PAGEREF _Toc9716 \h </w:instrText>
      </w:r>
      <w:r>
        <w:fldChar w:fldCharType="separate"/>
      </w:r>
      <w:r>
        <w:t>78</w:t>
      </w:r>
      <w:r>
        <w:fldChar w:fldCharType="end"/>
      </w:r>
      <w:r>
        <w:fldChar w:fldCharType="end"/>
      </w:r>
    </w:p>
    <w:p>
      <w:pPr>
        <w:pStyle w:val="13"/>
        <w:tabs>
          <w:tab w:val="right" w:leader="dot" w:pos="8190"/>
        </w:tabs>
        <w:spacing w:line="360" w:lineRule="auto"/>
      </w:pPr>
      <w:r>
        <w:fldChar w:fldCharType="begin"/>
      </w:r>
      <w:r>
        <w:instrText xml:space="preserve"> HYPERLINK \l "_Toc17995" </w:instrText>
      </w:r>
      <w:r>
        <w:fldChar w:fldCharType="separate"/>
      </w:r>
      <w:r>
        <w:rPr>
          <w:szCs w:val="28"/>
        </w:rPr>
        <w:t>十、投标人资质证明文件</w:t>
      </w:r>
      <w:r>
        <w:tab/>
      </w:r>
      <w:r>
        <w:fldChar w:fldCharType="begin"/>
      </w:r>
      <w:r>
        <w:instrText xml:space="preserve"> PAGEREF _Toc17995 \h </w:instrText>
      </w:r>
      <w:r>
        <w:fldChar w:fldCharType="separate"/>
      </w:r>
      <w:r>
        <w:t>79</w:t>
      </w:r>
      <w:r>
        <w:fldChar w:fldCharType="end"/>
      </w:r>
      <w:r>
        <w:fldChar w:fldCharType="end"/>
      </w:r>
    </w:p>
    <w:p>
      <w:pPr>
        <w:pStyle w:val="13"/>
        <w:tabs>
          <w:tab w:val="right" w:leader="dot" w:pos="8190"/>
        </w:tabs>
        <w:spacing w:line="360" w:lineRule="auto"/>
      </w:pPr>
      <w:r>
        <w:fldChar w:fldCharType="begin"/>
      </w:r>
      <w:r>
        <w:instrText xml:space="preserve"> HYPERLINK \l "_Toc21246" </w:instrText>
      </w:r>
      <w:r>
        <w:fldChar w:fldCharType="separate"/>
      </w:r>
      <w:r>
        <w:rPr>
          <w:szCs w:val="28"/>
        </w:rPr>
        <w:t>十</w:t>
      </w:r>
      <w:r>
        <w:rPr>
          <w:rFonts w:hint="eastAsia"/>
          <w:szCs w:val="28"/>
        </w:rPr>
        <w:t>一</w:t>
      </w:r>
      <w:r>
        <w:rPr>
          <w:szCs w:val="28"/>
        </w:rPr>
        <w:t>、其他有必要提供的资料</w:t>
      </w:r>
      <w:r>
        <w:tab/>
      </w:r>
      <w:r>
        <w:fldChar w:fldCharType="begin"/>
      </w:r>
      <w:r>
        <w:instrText xml:space="preserve"> PAGEREF _Toc21246 \h </w:instrText>
      </w:r>
      <w:r>
        <w:fldChar w:fldCharType="separate"/>
      </w:r>
      <w:r>
        <w:t>80</w:t>
      </w:r>
      <w:r>
        <w:fldChar w:fldCharType="end"/>
      </w:r>
      <w:r>
        <w:fldChar w:fldCharType="end"/>
      </w:r>
    </w:p>
    <w:p>
      <w:pPr>
        <w:pStyle w:val="20"/>
        <w:tabs>
          <w:tab w:val="right" w:leader="dot" w:pos="8190"/>
        </w:tabs>
        <w:spacing w:line="360" w:lineRule="auto"/>
        <w:rPr>
          <w:b/>
          <w:bCs/>
        </w:rPr>
      </w:pPr>
      <w:r>
        <w:fldChar w:fldCharType="begin"/>
      </w:r>
      <w:r>
        <w:instrText xml:space="preserve"> HYPERLINK \l "_Toc20658" </w:instrText>
      </w:r>
      <w:r>
        <w:fldChar w:fldCharType="separate"/>
      </w:r>
      <w:r>
        <w:rPr>
          <w:b/>
          <w:bCs/>
          <w:snapToGrid w:val="0"/>
        </w:rPr>
        <w:t>第五部分 评标办法</w:t>
      </w:r>
      <w:r>
        <w:rPr>
          <w:b/>
          <w:bCs/>
        </w:rPr>
        <w:tab/>
      </w:r>
      <w:r>
        <w:rPr>
          <w:b/>
          <w:bCs/>
        </w:rPr>
        <w:fldChar w:fldCharType="begin"/>
      </w:r>
      <w:r>
        <w:rPr>
          <w:b/>
          <w:bCs/>
        </w:rPr>
        <w:instrText xml:space="preserve"> PAGEREF _Toc20658 \h </w:instrText>
      </w:r>
      <w:r>
        <w:rPr>
          <w:b/>
          <w:bCs/>
        </w:rPr>
        <w:fldChar w:fldCharType="separate"/>
      </w:r>
      <w:r>
        <w:rPr>
          <w:b/>
          <w:bCs/>
        </w:rPr>
        <w:t>81</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"_Toc25950" </w:instrText>
      </w:r>
      <w:r>
        <w:fldChar w:fldCharType="separate"/>
      </w:r>
      <w:r>
        <w:rPr>
          <w:szCs w:val="24"/>
        </w:rPr>
        <w:t>一、评标原则</w:t>
      </w:r>
      <w:r>
        <w:tab/>
      </w:r>
      <w:r>
        <w:fldChar w:fldCharType="begin"/>
      </w:r>
      <w:r>
        <w:instrText xml:space="preserve"> PAGEREF _Toc25950 \h </w:instrText>
      </w:r>
      <w:r>
        <w:fldChar w:fldCharType="separate"/>
      </w:r>
      <w:r>
        <w:t>81</w:t>
      </w:r>
      <w:r>
        <w:fldChar w:fldCharType="end"/>
      </w:r>
      <w:r>
        <w:fldChar w:fldCharType="end"/>
      </w:r>
    </w:p>
    <w:p>
      <w:pPr>
        <w:pStyle w:val="13"/>
        <w:tabs>
          <w:tab w:val="right" w:leader="dot" w:pos="8190"/>
        </w:tabs>
        <w:spacing w:line="360" w:lineRule="auto"/>
      </w:pPr>
      <w:r>
        <w:fldChar w:fldCharType="begin"/>
      </w:r>
      <w:r>
        <w:instrText xml:space="preserve"> HYPERLINK \l "_Toc21100" </w:instrText>
      </w:r>
      <w:r>
        <w:fldChar w:fldCharType="separate"/>
      </w:r>
      <w:r>
        <w:rPr>
          <w:szCs w:val="24"/>
        </w:rPr>
        <w:t>二、评标组织机构及职责</w:t>
      </w:r>
      <w:r>
        <w:tab/>
      </w:r>
      <w:r>
        <w:fldChar w:fldCharType="begin"/>
      </w:r>
      <w:r>
        <w:instrText xml:space="preserve"> PAGEREF _Toc21100 \h </w:instrText>
      </w:r>
      <w:r>
        <w:fldChar w:fldCharType="separate"/>
      </w:r>
      <w:r>
        <w:t>81</w:t>
      </w:r>
      <w:r>
        <w:fldChar w:fldCharType="end"/>
      </w:r>
      <w:r>
        <w:fldChar w:fldCharType="end"/>
      </w:r>
    </w:p>
    <w:p>
      <w:pPr>
        <w:pStyle w:val="13"/>
        <w:tabs>
          <w:tab w:val="right" w:leader="dot" w:pos="8190"/>
        </w:tabs>
        <w:spacing w:line="360" w:lineRule="auto"/>
      </w:pPr>
      <w:r>
        <w:fldChar w:fldCharType="begin"/>
      </w:r>
      <w:r>
        <w:instrText xml:space="preserve"> HYPERLINK \l "_Toc19649" </w:instrText>
      </w:r>
      <w:r>
        <w:fldChar w:fldCharType="separate"/>
      </w:r>
      <w:r>
        <w:rPr>
          <w:szCs w:val="24"/>
        </w:rPr>
        <w:t>三、评标纪律</w:t>
      </w:r>
      <w:r>
        <w:tab/>
      </w:r>
      <w:r>
        <w:fldChar w:fldCharType="begin"/>
      </w:r>
      <w:r>
        <w:instrText xml:space="preserve"> PAGEREF _Toc19649 \h </w:instrText>
      </w:r>
      <w:r>
        <w:fldChar w:fldCharType="separate"/>
      </w:r>
      <w:r>
        <w:t>81</w:t>
      </w:r>
      <w:r>
        <w:fldChar w:fldCharType="end"/>
      </w:r>
      <w:r>
        <w:fldChar w:fldCharType="end"/>
      </w:r>
    </w:p>
    <w:p>
      <w:pPr>
        <w:pStyle w:val="13"/>
        <w:tabs>
          <w:tab w:val="right" w:leader="dot" w:pos="8190"/>
        </w:tabs>
        <w:spacing w:line="360" w:lineRule="auto"/>
      </w:pPr>
      <w:r>
        <w:fldChar w:fldCharType="begin"/>
      </w:r>
      <w:r>
        <w:instrText xml:space="preserve"> HYPERLINK \l "_Toc4410" </w:instrText>
      </w:r>
      <w:r>
        <w:fldChar w:fldCharType="separate"/>
      </w:r>
      <w:r>
        <w:rPr>
          <w:szCs w:val="24"/>
        </w:rPr>
        <w:t>四、评标的程序</w:t>
      </w:r>
      <w:r>
        <w:tab/>
      </w:r>
      <w:r>
        <w:fldChar w:fldCharType="begin"/>
      </w:r>
      <w:r>
        <w:instrText xml:space="preserve"> PAGEREF _Toc4410 \h </w:instrText>
      </w:r>
      <w:r>
        <w:fldChar w:fldCharType="separate"/>
      </w:r>
      <w:r>
        <w:t>82</w:t>
      </w:r>
      <w:r>
        <w:fldChar w:fldCharType="end"/>
      </w:r>
      <w:r>
        <w:fldChar w:fldCharType="end"/>
      </w:r>
    </w:p>
    <w:p>
      <w:pPr>
        <w:snapToGrid w:val="0"/>
        <w:spacing w:line="360" w:lineRule="auto"/>
        <w:outlineLvl w:val="1"/>
        <w:rPr>
          <w:b/>
          <w:sz w:val="28"/>
        </w:rPr>
      </w:pPr>
      <w:r>
        <w:rPr>
          <w:rFonts w:ascii="宋体" w:hAnsi="宋体"/>
          <w:snapToGrid w:val="0"/>
          <w:kern w:val="0"/>
          <w:szCs w:val="28"/>
        </w:rPr>
        <w:fldChar w:fldCharType="end"/>
      </w:r>
    </w:p>
    <w:p>
      <w:pPr>
        <w:pStyle w:val="5"/>
        <w:snapToGrid w:val="0"/>
        <w:spacing w:before="120" w:after="120" w:line="240" w:lineRule="auto"/>
        <w:jc w:val="center"/>
        <w:rPr>
          <w:rFonts w:ascii="Times New Roman" w:hAnsi="Times New Roman"/>
          <w:snapToGrid w:val="0"/>
        </w:rPr>
        <w:sectPr>
          <w:footerReference r:id="rId9" w:type="default"/>
          <w:pgSz w:w="11910" w:h="16840"/>
          <w:pgMar w:top="1440" w:right="1860" w:bottom="1440" w:left="1860" w:header="850" w:footer="992" w:gutter="0"/>
          <w:cols w:space="720" w:num="1"/>
          <w:docGrid w:type="lines" w:linePitch="290" w:charSpace="0"/>
        </w:sectPr>
      </w:pPr>
      <w:bookmarkStart w:id="0" w:name="_Toc29190"/>
      <w:bookmarkStart w:id="1" w:name="_Toc28254"/>
      <w:bookmarkStart w:id="2" w:name="_Toc9445"/>
      <w:bookmarkStart w:id="3" w:name="_Toc28155"/>
      <w:bookmarkStart w:id="4" w:name="_Toc9543"/>
      <w:bookmarkStart w:id="5" w:name="_Toc20748"/>
      <w:bookmarkStart w:id="6" w:name="_Toc11928"/>
      <w:bookmarkStart w:id="7" w:name="_Toc20619"/>
      <w:bookmarkStart w:id="8" w:name="_Toc11100"/>
      <w:bookmarkStart w:id="9" w:name="_Toc11748"/>
      <w:bookmarkStart w:id="10" w:name="_Toc19891"/>
      <w:bookmarkStart w:id="11" w:name="_Toc32395"/>
      <w:bookmarkStart w:id="12" w:name="_Toc14994"/>
      <w:bookmarkStart w:id="13" w:name="_Toc17515"/>
      <w:bookmarkStart w:id="14" w:name="_Toc15888"/>
      <w:bookmarkStart w:id="15" w:name="_Toc11517"/>
      <w:bookmarkStart w:id="16" w:name="_Toc11732"/>
      <w:bookmarkStart w:id="17" w:name="_Toc23759"/>
      <w:bookmarkStart w:id="18" w:name="_Toc24355"/>
      <w:bookmarkStart w:id="19" w:name="_Toc17985"/>
    </w:p>
    <w:p>
      <w:pPr>
        <w:pStyle w:val="5"/>
        <w:snapToGrid w:val="0"/>
        <w:spacing w:before="120" w:after="120" w:line="240" w:lineRule="auto"/>
        <w:jc w:val="center"/>
        <w:rPr>
          <w:rFonts w:ascii="Times New Roman" w:hAnsi="Times New Roman" w:eastAsia="宋体"/>
          <w:snapToGrid w:val="0"/>
        </w:rPr>
      </w:pPr>
      <w:bookmarkStart w:id="20" w:name="_Toc16890"/>
      <w:r>
        <w:rPr>
          <w:rFonts w:ascii="Times New Roman" w:hAnsi="宋体" w:eastAsia="宋体"/>
          <w:snapToGrid w:val="0"/>
        </w:rPr>
        <w:t>第一部分</w:t>
      </w:r>
      <w:r>
        <w:rPr>
          <w:rFonts w:hint="eastAsia" w:ascii="Times New Roman" w:hAnsi="宋体" w:eastAsia="宋体"/>
          <w:snapToGrid w:val="0"/>
        </w:rPr>
        <w:t xml:space="preserve">  </w:t>
      </w:r>
      <w:r>
        <w:rPr>
          <w:rFonts w:ascii="Times New Roman" w:hAnsi="宋体" w:eastAsia="宋体"/>
          <w:snapToGrid w:val="0"/>
        </w:rPr>
        <w:t>保险</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ascii="Times New Roman" w:hAnsi="宋体" w:eastAsia="宋体"/>
          <w:snapToGrid w:val="0"/>
        </w:rPr>
        <w:t>招标公告</w:t>
      </w:r>
    </w:p>
    <w:p>
      <w:pPr>
        <w:spacing w:line="360" w:lineRule="auto"/>
        <w:rPr>
          <w:sz w:val="24"/>
        </w:rPr>
      </w:pPr>
    </w:p>
    <w:p>
      <w:pPr>
        <w:spacing w:line="360" w:lineRule="auto"/>
        <w:ind w:firstLine="480" w:firstLineChars="200"/>
        <w:rPr>
          <w:sz w:val="24"/>
        </w:rPr>
      </w:pPr>
      <w:r>
        <w:rPr>
          <w:sz w:val="24"/>
        </w:rPr>
        <w:t>现就</w:t>
      </w:r>
      <w:r>
        <w:rPr>
          <w:rFonts w:hint="eastAsia"/>
          <w:sz w:val="24"/>
        </w:rPr>
        <w:t>江苏大生集团有限公司</w:t>
      </w:r>
      <w:r>
        <w:rPr>
          <w:rFonts w:hint="eastAsia"/>
          <w:sz w:val="24"/>
          <w:lang w:val="en-US" w:eastAsia="zh-CN"/>
        </w:rPr>
        <w:t>旗下</w:t>
      </w:r>
      <w:r>
        <w:rPr>
          <w:rFonts w:hint="eastAsia"/>
          <w:sz w:val="24"/>
        </w:rPr>
        <w:t>部分子公司</w:t>
      </w:r>
      <w:r>
        <w:rPr>
          <w:rFonts w:hint="eastAsia"/>
          <w:sz w:val="24"/>
          <w:lang w:eastAsia="zh-CN"/>
        </w:rPr>
        <w:t>（</w:t>
      </w:r>
      <w:r>
        <w:rPr>
          <w:rFonts w:hint="eastAsia"/>
          <w:sz w:val="24"/>
          <w:lang w:val="en-US" w:eastAsia="zh-CN"/>
        </w:rPr>
        <w:t>合肥、滨州、聊城）2023年度</w:t>
      </w:r>
      <w:r>
        <w:rPr>
          <w:rFonts w:hint="eastAsia"/>
          <w:sz w:val="24"/>
        </w:rPr>
        <w:t>财产保险</w:t>
      </w:r>
      <w:r>
        <w:rPr>
          <w:sz w:val="24"/>
        </w:rPr>
        <w:t>（简称“本项目”）进行</w:t>
      </w:r>
      <w:r>
        <w:rPr>
          <w:rFonts w:hint="eastAsia"/>
          <w:sz w:val="24"/>
        </w:rPr>
        <w:t>公开</w:t>
      </w:r>
      <w:r>
        <w:rPr>
          <w:sz w:val="24"/>
        </w:rPr>
        <w:t>招标。现</w:t>
      </w:r>
      <w:r>
        <w:rPr>
          <w:rFonts w:hint="eastAsia"/>
          <w:sz w:val="24"/>
        </w:rPr>
        <w:t>欢迎符合资格的保险公司</w:t>
      </w:r>
      <w:r>
        <w:rPr>
          <w:sz w:val="24"/>
        </w:rPr>
        <w:t>参与本项目投标。</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bCs/>
          <w:sz w:val="24"/>
        </w:rPr>
      </w:pPr>
      <w:r>
        <w:rPr>
          <w:rFonts w:hint="eastAsia"/>
          <w:b/>
          <w:bCs/>
          <w:sz w:val="24"/>
        </w:rPr>
        <w:t>1</w:t>
      </w:r>
      <w:r>
        <w:rPr>
          <w:b/>
          <w:bCs/>
          <w:sz w:val="24"/>
        </w:rPr>
        <w:t>、</w:t>
      </w:r>
      <w:r>
        <w:rPr>
          <w:rFonts w:hint="eastAsia"/>
          <w:b/>
          <w:bCs/>
          <w:sz w:val="24"/>
        </w:rPr>
        <w:t>公司</w:t>
      </w:r>
      <w:r>
        <w:rPr>
          <w:b/>
          <w:bCs/>
          <w:sz w:val="24"/>
        </w:rPr>
        <w:t>概况：</w:t>
      </w:r>
    </w:p>
    <w:p>
      <w:pPr>
        <w:keepNext w:val="0"/>
        <w:keepLines w:val="0"/>
        <w:pageBreakBefore w:val="0"/>
        <w:widowControl/>
        <w:kinsoku/>
        <w:wordWrap/>
        <w:overflowPunct/>
        <w:topLinePunct w:val="0"/>
        <w:autoSpaceDE/>
        <w:autoSpaceDN/>
        <w:bidi w:val="0"/>
        <w:adjustRightInd w:val="0"/>
        <w:snapToGrid w:val="0"/>
        <w:spacing w:beforeLines="0" w:line="590" w:lineRule="exact"/>
        <w:ind w:firstLine="480" w:firstLineChars="200"/>
        <w:textAlignment w:val="auto"/>
        <w:rPr>
          <w:rFonts w:hint="eastAsia" w:eastAsia="宋体"/>
          <w:sz w:val="24"/>
          <w:lang w:val="en-US" w:eastAsia="zh-CN"/>
        </w:rPr>
      </w:pPr>
      <w:r>
        <w:rPr>
          <w:rFonts w:hint="eastAsia"/>
          <w:sz w:val="24"/>
        </w:rPr>
        <w:t>江苏大生集团有限公司的前身为大生纱厂，由清末状元、中国近代实业家张謇先生于1895年创办。集团现拥有全资、控股、参股公司16个，职工总数约7000人，资产总额</w:t>
      </w:r>
      <w:r>
        <w:rPr>
          <w:rFonts w:hint="eastAsia"/>
          <w:sz w:val="24"/>
          <w:lang w:val="en-US" w:eastAsia="zh-CN"/>
        </w:rPr>
        <w:t>约</w:t>
      </w:r>
      <w:r>
        <w:rPr>
          <w:rFonts w:hint="eastAsia"/>
          <w:sz w:val="24"/>
        </w:rPr>
        <w:t>40亿元，形成纺织</w:t>
      </w:r>
      <w:r>
        <w:rPr>
          <w:rFonts w:hint="eastAsia"/>
          <w:sz w:val="24"/>
          <w:lang w:val="en-US" w:eastAsia="zh-CN"/>
        </w:rPr>
        <w:t>发展</w:t>
      </w:r>
      <w:r>
        <w:rPr>
          <w:rFonts w:hint="eastAsia"/>
          <w:sz w:val="24"/>
        </w:rPr>
        <w:t>、</w:t>
      </w:r>
      <w:r>
        <w:rPr>
          <w:rFonts w:hint="eastAsia"/>
          <w:sz w:val="24"/>
          <w:lang w:val="en-US" w:eastAsia="zh-CN"/>
        </w:rPr>
        <w:t>进出口贸易</w:t>
      </w:r>
      <w:r>
        <w:rPr>
          <w:rFonts w:hint="eastAsia"/>
          <w:sz w:val="24"/>
        </w:rPr>
        <w:t>和文化创意产业板块，</w:t>
      </w:r>
      <w:r>
        <w:rPr>
          <w:rFonts w:hint="eastAsia"/>
          <w:sz w:val="24"/>
          <w:lang w:val="en-US" w:eastAsia="zh-CN"/>
        </w:rPr>
        <w:t>公司规模跨三省，</w:t>
      </w:r>
      <w:r>
        <w:rPr>
          <w:rFonts w:hint="eastAsia"/>
          <w:sz w:val="24"/>
        </w:rPr>
        <w:t>成为主业鲜明、产业多元的大型企业集团</w:t>
      </w:r>
      <w:r>
        <w:rPr>
          <w:rFonts w:hint="eastAsia"/>
          <w:sz w:val="24"/>
          <w:lang w:eastAsia="zh-CN"/>
        </w:rPr>
        <w:t>。</w:t>
      </w:r>
    </w:p>
    <w:p>
      <w:pPr>
        <w:keepNext w:val="0"/>
        <w:keepLines w:val="0"/>
        <w:pageBreakBefore w:val="0"/>
        <w:widowControl/>
        <w:kinsoku/>
        <w:wordWrap/>
        <w:overflowPunct/>
        <w:topLinePunct w:val="0"/>
        <w:autoSpaceDE/>
        <w:autoSpaceDN/>
        <w:bidi w:val="0"/>
        <w:adjustRightInd w:val="0"/>
        <w:snapToGrid w:val="0"/>
        <w:spacing w:beforeLines="0" w:line="590" w:lineRule="exact"/>
        <w:ind w:firstLine="480" w:firstLineChars="200"/>
        <w:textAlignment w:val="auto"/>
        <w:rPr>
          <w:rFonts w:hint="eastAsia"/>
          <w:sz w:val="24"/>
        </w:rPr>
      </w:pPr>
      <w:r>
        <w:rPr>
          <w:rFonts w:hint="eastAsia"/>
          <w:sz w:val="24"/>
        </w:rPr>
        <w:t>大生集团纺织主业拥有</w:t>
      </w:r>
      <w:r>
        <w:rPr>
          <w:rFonts w:hint="eastAsia"/>
          <w:sz w:val="24"/>
          <w:lang w:val="en-US" w:eastAsia="zh-CN"/>
        </w:rPr>
        <w:t>近</w:t>
      </w:r>
      <w:r>
        <w:rPr>
          <w:rFonts w:hint="eastAsia"/>
          <w:sz w:val="24"/>
        </w:rPr>
        <w:t>100万纱锭，775台布机，262台倍捻机，烧毛机，年产多组分、多功能混纺纱线6万吨，家纺、服装、工业用等高档面料8000万米，针织服装年产服装60万套件，产品远销近50个国家和地区。拥有“高支高密纯棉坯布”和“纯棉精梳纱线”两个“中国名牌”，拥有省级企业院士工作站、省纺织企业的首家省级技术中心、纺织新材料协同创新研究院，各项专利40多项。</w:t>
      </w:r>
    </w:p>
    <w:p>
      <w:pPr>
        <w:autoSpaceDE w:val="0"/>
        <w:autoSpaceDN w:val="0"/>
        <w:adjustRightInd w:val="0"/>
        <w:spacing w:before="120" w:beforeLines="50" w:after="120" w:afterLines="50" w:line="360" w:lineRule="auto"/>
        <w:ind w:firstLine="480" w:firstLineChars="200"/>
        <w:rPr>
          <w:sz w:val="24"/>
        </w:rPr>
      </w:pPr>
      <w:r>
        <w:rPr>
          <w:rFonts w:hint="eastAsia"/>
          <w:sz w:val="24"/>
        </w:rPr>
        <w:t>大生集团先后被授予全国先进基层党组织、国家火炬计划重点高新技术企业、全国纺织工业先进集体、省文明单位、省制造突出贡献奖优秀企业等荣誉称号。集团销售收入、出口创汇、利税、人均利税等主要经济指标跻身同行前列，连续多年成为全国棉纺织行业“排头兵企业”。</w:t>
      </w:r>
    </w:p>
    <w:p>
      <w:pPr>
        <w:snapToGrid w:val="0"/>
        <w:spacing w:line="360" w:lineRule="auto"/>
        <w:ind w:firstLine="482" w:firstLineChars="200"/>
        <w:rPr>
          <w:b/>
          <w:bCs/>
          <w:sz w:val="24"/>
        </w:rPr>
      </w:pPr>
      <w:r>
        <w:rPr>
          <w:rFonts w:hint="eastAsia"/>
          <w:b/>
          <w:bCs/>
          <w:sz w:val="24"/>
        </w:rPr>
        <w:t>2</w:t>
      </w:r>
      <w:r>
        <w:rPr>
          <w:b/>
          <w:bCs/>
          <w:sz w:val="24"/>
        </w:rPr>
        <w:t>、招标</w:t>
      </w:r>
      <w:r>
        <w:rPr>
          <w:rFonts w:hint="eastAsia"/>
          <w:b/>
          <w:bCs/>
          <w:sz w:val="24"/>
        </w:rPr>
        <w:t>范围</w:t>
      </w:r>
      <w:r>
        <w:rPr>
          <w:b/>
          <w:bCs/>
          <w:sz w:val="24"/>
        </w:rPr>
        <w:t>：</w:t>
      </w:r>
    </w:p>
    <w:p>
      <w:pPr>
        <w:snapToGrid w:val="0"/>
        <w:spacing w:line="360" w:lineRule="auto"/>
        <w:ind w:firstLine="480" w:firstLineChars="200"/>
        <w:rPr>
          <w:color w:val="0000FF"/>
          <w:sz w:val="24"/>
          <w:highlight w:val="none"/>
        </w:rPr>
      </w:pPr>
      <w:r>
        <w:rPr>
          <w:rFonts w:hint="eastAsia"/>
          <w:sz w:val="24"/>
          <w:highlight w:val="none"/>
        </w:rPr>
        <w:t>财产综合</w:t>
      </w:r>
      <w:r>
        <w:rPr>
          <w:sz w:val="24"/>
          <w:highlight w:val="none"/>
        </w:rPr>
        <w:t>险</w:t>
      </w:r>
      <w:r>
        <w:rPr>
          <w:rFonts w:hint="eastAsia"/>
          <w:sz w:val="24"/>
          <w:highlight w:val="none"/>
        </w:rPr>
        <w:t>、机器损坏险。</w:t>
      </w:r>
    </w:p>
    <w:p>
      <w:pPr>
        <w:snapToGrid w:val="0"/>
        <w:spacing w:line="360" w:lineRule="auto"/>
        <w:ind w:firstLine="482" w:firstLineChars="200"/>
        <w:rPr>
          <w:b/>
          <w:bCs/>
          <w:sz w:val="24"/>
        </w:rPr>
      </w:pPr>
      <w:r>
        <w:rPr>
          <w:rFonts w:hint="eastAsia"/>
          <w:b/>
          <w:bCs/>
          <w:sz w:val="24"/>
        </w:rPr>
        <w:t>3</w:t>
      </w:r>
      <w:r>
        <w:rPr>
          <w:b/>
          <w:bCs/>
          <w:sz w:val="24"/>
        </w:rPr>
        <w:t>、投标人资格与要求：</w:t>
      </w:r>
    </w:p>
    <w:p>
      <w:pPr>
        <w:numPr>
          <w:ilvl w:val="0"/>
          <w:numId w:val="2"/>
        </w:numPr>
        <w:tabs>
          <w:tab w:val="left" w:pos="1260"/>
          <w:tab w:val="clear" w:pos="1402"/>
        </w:tabs>
        <w:snapToGrid w:val="0"/>
        <w:spacing w:line="360" w:lineRule="auto"/>
        <w:ind w:left="1260" w:hanging="540"/>
        <w:rPr>
          <w:sz w:val="24"/>
        </w:rPr>
      </w:pPr>
      <w:r>
        <w:rPr>
          <w:sz w:val="24"/>
        </w:rPr>
        <w:t>投标人必须</w:t>
      </w:r>
      <w:r>
        <w:rPr>
          <w:rFonts w:hint="eastAsia"/>
          <w:sz w:val="24"/>
        </w:rPr>
        <w:t>具有独立法人资格或经其授权具有独立投标能力，并拥有中国银行保险监督管理委员会批准开展本保险业务资格的财产保险公司</w:t>
      </w:r>
      <w:r>
        <w:rPr>
          <w:sz w:val="24"/>
        </w:rPr>
        <w:t>；</w:t>
      </w:r>
    </w:p>
    <w:p>
      <w:pPr>
        <w:numPr>
          <w:ilvl w:val="0"/>
          <w:numId w:val="2"/>
        </w:numPr>
        <w:tabs>
          <w:tab w:val="left" w:pos="1260"/>
          <w:tab w:val="clear" w:pos="1402"/>
        </w:tabs>
        <w:snapToGrid w:val="0"/>
        <w:spacing w:line="360" w:lineRule="auto"/>
        <w:ind w:left="1260" w:hanging="540"/>
        <w:rPr>
          <w:sz w:val="24"/>
        </w:rPr>
      </w:pPr>
      <w:r>
        <w:rPr>
          <w:sz w:val="24"/>
        </w:rPr>
        <w:t>本项目只接受</w:t>
      </w:r>
      <w:r>
        <w:rPr>
          <w:rFonts w:hint="eastAsia"/>
          <w:sz w:val="24"/>
        </w:rPr>
        <w:t>经</w:t>
      </w:r>
      <w:r>
        <w:rPr>
          <w:sz w:val="24"/>
        </w:rPr>
        <w:t>保险公司总公司</w:t>
      </w:r>
      <w:r>
        <w:rPr>
          <w:rFonts w:hint="eastAsia"/>
          <w:sz w:val="24"/>
        </w:rPr>
        <w:t>唯一授权的南通地市级机构公司</w:t>
      </w:r>
      <w:r>
        <w:rPr>
          <w:sz w:val="24"/>
        </w:rPr>
        <w:t xml:space="preserve">投标，不接受委托保险代理人参与本项目的投标； </w:t>
      </w:r>
    </w:p>
    <w:p>
      <w:pPr>
        <w:numPr>
          <w:ilvl w:val="0"/>
          <w:numId w:val="2"/>
        </w:numPr>
        <w:tabs>
          <w:tab w:val="left" w:pos="1260"/>
          <w:tab w:val="clear" w:pos="1402"/>
        </w:tabs>
        <w:snapToGrid w:val="0"/>
        <w:spacing w:line="360" w:lineRule="auto"/>
        <w:ind w:left="1260" w:hanging="540"/>
        <w:rPr>
          <w:sz w:val="24"/>
        </w:rPr>
      </w:pPr>
      <w:r>
        <w:rPr>
          <w:sz w:val="24"/>
        </w:rPr>
        <w:t>本项目不接受联合体投标</w:t>
      </w:r>
      <w:r>
        <w:rPr>
          <w:rFonts w:hint="eastAsia"/>
          <w:sz w:val="24"/>
        </w:rPr>
        <w:t>。</w:t>
      </w:r>
    </w:p>
    <w:p>
      <w:pPr>
        <w:snapToGrid w:val="0"/>
        <w:spacing w:line="360" w:lineRule="auto"/>
        <w:ind w:firstLine="482" w:firstLineChars="200"/>
        <w:rPr>
          <w:b/>
          <w:bCs/>
          <w:sz w:val="24"/>
          <w:szCs w:val="22"/>
        </w:rPr>
      </w:pPr>
      <w:r>
        <w:rPr>
          <w:rFonts w:hint="eastAsia"/>
          <w:b/>
          <w:bCs/>
          <w:sz w:val="24"/>
          <w:szCs w:val="22"/>
        </w:rPr>
        <w:t>4</w:t>
      </w:r>
      <w:r>
        <w:rPr>
          <w:b/>
          <w:bCs/>
          <w:sz w:val="24"/>
          <w:szCs w:val="22"/>
        </w:rPr>
        <w:t>、</w:t>
      </w:r>
      <w:r>
        <w:rPr>
          <w:rFonts w:hint="eastAsia"/>
          <w:b/>
          <w:bCs/>
          <w:sz w:val="24"/>
          <w:szCs w:val="22"/>
        </w:rPr>
        <w:t>投保文件递交</w:t>
      </w:r>
    </w:p>
    <w:p>
      <w:pPr>
        <w:snapToGrid w:val="0"/>
        <w:spacing w:line="360" w:lineRule="auto"/>
        <w:ind w:firstLine="480" w:firstLineChars="200"/>
        <w:rPr>
          <w:sz w:val="24"/>
          <w:szCs w:val="22"/>
        </w:rPr>
      </w:pPr>
      <w:r>
        <w:rPr>
          <w:rFonts w:hint="eastAsia"/>
          <w:sz w:val="24"/>
          <w:szCs w:val="22"/>
        </w:rPr>
        <w:t>4.1</w:t>
      </w:r>
      <w:r>
        <w:rPr>
          <w:sz w:val="24"/>
          <w:szCs w:val="22"/>
        </w:rPr>
        <w:t>投标文件送交的</w:t>
      </w:r>
      <w:r>
        <w:rPr>
          <w:color w:val="auto"/>
          <w:sz w:val="24"/>
          <w:szCs w:val="22"/>
        </w:rPr>
        <w:t>截止时</w:t>
      </w:r>
      <w:r>
        <w:rPr>
          <w:color w:val="auto"/>
          <w:sz w:val="24"/>
          <w:szCs w:val="22"/>
          <w:highlight w:val="none"/>
        </w:rPr>
        <w:t>间为20</w:t>
      </w:r>
      <w:r>
        <w:rPr>
          <w:rFonts w:hint="eastAsia"/>
          <w:color w:val="auto"/>
          <w:sz w:val="24"/>
          <w:szCs w:val="22"/>
          <w:highlight w:val="none"/>
        </w:rPr>
        <w:t>2</w:t>
      </w:r>
      <w:r>
        <w:rPr>
          <w:rFonts w:hint="eastAsia"/>
          <w:color w:val="auto"/>
          <w:sz w:val="24"/>
          <w:szCs w:val="22"/>
          <w:highlight w:val="none"/>
          <w:lang w:val="en-US" w:eastAsia="zh-CN"/>
        </w:rPr>
        <w:t>3</w:t>
      </w:r>
      <w:r>
        <w:rPr>
          <w:color w:val="auto"/>
          <w:sz w:val="24"/>
          <w:szCs w:val="22"/>
          <w:highlight w:val="none"/>
        </w:rPr>
        <w:t>年</w:t>
      </w:r>
      <w:r>
        <w:rPr>
          <w:rFonts w:hint="eastAsia"/>
          <w:color w:val="auto"/>
          <w:sz w:val="24"/>
          <w:szCs w:val="22"/>
          <w:highlight w:val="none"/>
          <w:lang w:val="en-US" w:eastAsia="zh-CN"/>
        </w:rPr>
        <w:t>8</w:t>
      </w:r>
      <w:r>
        <w:rPr>
          <w:color w:val="auto"/>
          <w:sz w:val="24"/>
          <w:highlight w:val="none"/>
        </w:rPr>
        <w:t>月</w:t>
      </w:r>
      <w:r>
        <w:rPr>
          <w:rFonts w:hint="eastAsia"/>
          <w:color w:val="auto"/>
          <w:sz w:val="24"/>
          <w:highlight w:val="none"/>
          <w:lang w:val="en-US" w:eastAsia="zh-CN"/>
        </w:rPr>
        <w:t xml:space="preserve">8 </w:t>
      </w:r>
      <w:r>
        <w:rPr>
          <w:color w:val="auto"/>
          <w:sz w:val="24"/>
          <w:highlight w:val="none"/>
        </w:rPr>
        <w:t>日</w:t>
      </w:r>
      <w:r>
        <w:rPr>
          <w:rFonts w:hint="eastAsia"/>
          <w:color w:val="auto"/>
          <w:sz w:val="24"/>
          <w:szCs w:val="22"/>
          <w:highlight w:val="none"/>
        </w:rPr>
        <w:t>9</w:t>
      </w:r>
      <w:r>
        <w:rPr>
          <w:color w:val="auto"/>
          <w:sz w:val="24"/>
          <w:szCs w:val="22"/>
          <w:highlight w:val="none"/>
        </w:rPr>
        <w:t>：</w:t>
      </w:r>
      <w:r>
        <w:rPr>
          <w:rFonts w:hint="eastAsia"/>
          <w:color w:val="auto"/>
          <w:sz w:val="24"/>
          <w:szCs w:val="22"/>
          <w:highlight w:val="none"/>
        </w:rPr>
        <w:t>3</w:t>
      </w:r>
      <w:r>
        <w:rPr>
          <w:color w:val="auto"/>
          <w:sz w:val="24"/>
          <w:szCs w:val="22"/>
        </w:rPr>
        <w:t>0（北京时间），投标</w:t>
      </w:r>
      <w:r>
        <w:rPr>
          <w:sz w:val="24"/>
          <w:szCs w:val="22"/>
        </w:rPr>
        <w:t>文件必须在上述时间之前</w:t>
      </w:r>
      <w:r>
        <w:rPr>
          <w:rFonts w:hint="eastAsia"/>
          <w:sz w:val="24"/>
          <w:szCs w:val="22"/>
        </w:rPr>
        <w:t>寄</w:t>
      </w:r>
      <w:r>
        <w:rPr>
          <w:sz w:val="24"/>
          <w:szCs w:val="22"/>
        </w:rPr>
        <w:t>交至</w:t>
      </w:r>
      <w:r>
        <w:rPr>
          <w:rFonts w:hint="eastAsia"/>
          <w:sz w:val="24"/>
          <w:szCs w:val="22"/>
        </w:rPr>
        <w:t>江苏省南通市</w:t>
      </w:r>
      <w:r>
        <w:rPr>
          <w:rFonts w:hint="eastAsia"/>
          <w:sz w:val="24"/>
          <w:szCs w:val="22"/>
          <w:lang w:val="en-US" w:eastAsia="zh-CN"/>
        </w:rPr>
        <w:t>港闸经济开发区大生路1号</w:t>
      </w:r>
      <w:r>
        <w:rPr>
          <w:rFonts w:hint="eastAsia"/>
          <w:sz w:val="24"/>
          <w:szCs w:val="22"/>
        </w:rPr>
        <w:t>、 江苏大生集团有限公司财务部</w:t>
      </w:r>
      <w:r>
        <w:rPr>
          <w:rFonts w:hint="eastAsia"/>
          <w:sz w:val="24"/>
          <w:szCs w:val="22"/>
          <w:lang w:val="en-US" w:eastAsia="zh-CN"/>
        </w:rPr>
        <w:t>403室</w:t>
      </w:r>
      <w:r>
        <w:rPr>
          <w:rFonts w:hint="eastAsia"/>
          <w:sz w:val="24"/>
          <w:szCs w:val="22"/>
        </w:rPr>
        <w:t>，收件人 包雪峰 单杰锋 电话0513-</w:t>
      </w:r>
      <w:r>
        <w:rPr>
          <w:rFonts w:hint="eastAsia"/>
          <w:sz w:val="24"/>
          <w:szCs w:val="22"/>
          <w:lang w:val="en-US" w:eastAsia="zh-CN"/>
        </w:rPr>
        <w:t xml:space="preserve"> 89025540 </w:t>
      </w:r>
      <w:r>
        <w:rPr>
          <w:sz w:val="24"/>
          <w:szCs w:val="22"/>
        </w:rPr>
        <w:t>。</w:t>
      </w:r>
    </w:p>
    <w:p>
      <w:pPr>
        <w:spacing w:before="120" w:beforeLines="50" w:line="360" w:lineRule="auto"/>
        <w:ind w:firstLine="482" w:firstLineChars="200"/>
        <w:jc w:val="left"/>
        <w:rPr>
          <w:rFonts w:ascii="宋体" w:hAnsi="宋体"/>
          <w:b/>
          <w:bCs/>
          <w:sz w:val="24"/>
        </w:rPr>
      </w:pPr>
      <w:r>
        <w:rPr>
          <w:rFonts w:hint="eastAsia" w:ascii="宋体" w:hAnsi="宋体"/>
          <w:b/>
          <w:bCs/>
          <w:sz w:val="24"/>
        </w:rPr>
        <w:t>5、信息发布：</w:t>
      </w:r>
    </w:p>
    <w:p>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本项目相关的招标文件及澄清、修改以及终止公告、成交结果公告等信息均通过江苏大生集团有限公司“http://www.dasheng-group.com.cn/”发布。</w:t>
      </w:r>
    </w:p>
    <w:p>
      <w:pPr>
        <w:snapToGrid w:val="0"/>
        <w:spacing w:before="120" w:beforeLines="50" w:line="360" w:lineRule="auto"/>
        <w:ind w:firstLine="480" w:firstLineChars="200"/>
        <w:rPr>
          <w:sz w:val="24"/>
        </w:rPr>
      </w:pPr>
      <w:r>
        <w:rPr>
          <w:rFonts w:hint="eastAsia" w:ascii="宋体" w:hAnsi="宋体" w:cs="宋体"/>
          <w:kern w:val="0"/>
          <w:sz w:val="24"/>
          <w:szCs w:val="24"/>
        </w:rPr>
        <w:t>招标人在上述网站公布的信息视为已送达各投标人，投标人有义务在参加采购活动期间浏览相关网站</w:t>
      </w:r>
      <w:r>
        <w:rPr>
          <w:sz w:val="24"/>
        </w:rPr>
        <w:t>。</w:t>
      </w:r>
    </w:p>
    <w:p>
      <w:pPr>
        <w:pStyle w:val="23"/>
        <w:ind w:firstLine="600"/>
      </w:pPr>
    </w:p>
    <w:tbl>
      <w:tblPr>
        <w:tblStyle w:val="24"/>
        <w:tblW w:w="8568" w:type="dxa"/>
        <w:tblInd w:w="0" w:type="dxa"/>
        <w:tblLayout w:type="fixed"/>
        <w:tblCellMar>
          <w:top w:w="0" w:type="dxa"/>
          <w:left w:w="108" w:type="dxa"/>
          <w:bottom w:w="0" w:type="dxa"/>
          <w:right w:w="108" w:type="dxa"/>
        </w:tblCellMar>
      </w:tblPr>
      <w:tblGrid>
        <w:gridCol w:w="1526"/>
        <w:gridCol w:w="7042"/>
      </w:tblGrid>
      <w:tr>
        <w:tblPrEx>
          <w:tblCellMar>
            <w:top w:w="0" w:type="dxa"/>
            <w:left w:w="108" w:type="dxa"/>
            <w:bottom w:w="0" w:type="dxa"/>
            <w:right w:w="108" w:type="dxa"/>
          </w:tblCellMar>
        </w:tblPrEx>
        <w:trPr>
          <w:trHeight w:val="80" w:hRule="atLeast"/>
        </w:trPr>
        <w:tc>
          <w:tcPr>
            <w:tcW w:w="1526" w:type="dxa"/>
            <w:vAlign w:val="center"/>
          </w:tcPr>
          <w:p>
            <w:pPr>
              <w:snapToGrid w:val="0"/>
              <w:spacing w:line="312" w:lineRule="auto"/>
              <w:rPr>
                <w:sz w:val="24"/>
              </w:rPr>
            </w:pPr>
            <w:r>
              <w:rPr>
                <w:sz w:val="24"/>
              </w:rPr>
              <w:t>招 标 人：</w:t>
            </w:r>
          </w:p>
        </w:tc>
        <w:tc>
          <w:tcPr>
            <w:tcW w:w="7042" w:type="dxa"/>
            <w:vAlign w:val="center"/>
          </w:tcPr>
          <w:p>
            <w:pPr>
              <w:snapToGrid w:val="0"/>
              <w:spacing w:line="312" w:lineRule="auto"/>
              <w:rPr>
                <w:sz w:val="24"/>
              </w:rPr>
            </w:pPr>
            <w:r>
              <w:rPr>
                <w:rFonts w:hint="eastAsia"/>
                <w:sz w:val="24"/>
              </w:rPr>
              <w:t>江苏大生集团有限公司</w:t>
            </w:r>
          </w:p>
        </w:tc>
      </w:tr>
      <w:tr>
        <w:tblPrEx>
          <w:tblCellMar>
            <w:top w:w="0" w:type="dxa"/>
            <w:left w:w="108" w:type="dxa"/>
            <w:bottom w:w="0" w:type="dxa"/>
            <w:right w:w="108" w:type="dxa"/>
          </w:tblCellMar>
        </w:tblPrEx>
        <w:trPr>
          <w:trHeight w:val="416" w:hRule="atLeast"/>
        </w:trPr>
        <w:tc>
          <w:tcPr>
            <w:tcW w:w="1526" w:type="dxa"/>
            <w:vAlign w:val="center"/>
          </w:tcPr>
          <w:p>
            <w:pPr>
              <w:pStyle w:val="8"/>
              <w:snapToGrid w:val="0"/>
              <w:spacing w:line="312" w:lineRule="auto"/>
              <w:ind w:firstLine="0"/>
              <w:rPr>
                <w:kern w:val="2"/>
                <w:sz w:val="24"/>
              </w:rPr>
            </w:pPr>
            <w:r>
              <w:rPr>
                <w:kern w:val="2"/>
                <w:sz w:val="24"/>
              </w:rPr>
              <w:t>地    址：</w:t>
            </w:r>
          </w:p>
        </w:tc>
        <w:tc>
          <w:tcPr>
            <w:tcW w:w="7042" w:type="dxa"/>
            <w:vAlign w:val="center"/>
          </w:tcPr>
          <w:p>
            <w:pPr>
              <w:pStyle w:val="8"/>
              <w:snapToGrid w:val="0"/>
              <w:spacing w:line="312" w:lineRule="auto"/>
              <w:ind w:firstLine="0"/>
              <w:rPr>
                <w:rFonts w:hint="default" w:eastAsia="宋体"/>
                <w:kern w:val="2"/>
                <w:sz w:val="24"/>
                <w:lang w:val="en-US" w:eastAsia="zh-CN"/>
              </w:rPr>
            </w:pPr>
            <w:r>
              <w:rPr>
                <w:rFonts w:hint="eastAsia"/>
                <w:kern w:val="2"/>
                <w:sz w:val="24"/>
              </w:rPr>
              <w:t>江苏省南通市</w:t>
            </w:r>
            <w:r>
              <w:rPr>
                <w:rFonts w:hint="eastAsia"/>
                <w:kern w:val="2"/>
                <w:sz w:val="24"/>
                <w:lang w:val="en-US" w:eastAsia="zh-CN"/>
              </w:rPr>
              <w:t>港闸经济开发区大生路1号</w:t>
            </w:r>
          </w:p>
        </w:tc>
      </w:tr>
      <w:tr>
        <w:tblPrEx>
          <w:tblCellMar>
            <w:top w:w="0" w:type="dxa"/>
            <w:left w:w="108" w:type="dxa"/>
            <w:bottom w:w="0" w:type="dxa"/>
            <w:right w:w="108" w:type="dxa"/>
          </w:tblCellMar>
        </w:tblPrEx>
        <w:trPr>
          <w:trHeight w:val="247" w:hRule="atLeast"/>
        </w:trPr>
        <w:tc>
          <w:tcPr>
            <w:tcW w:w="1526" w:type="dxa"/>
            <w:vAlign w:val="center"/>
          </w:tcPr>
          <w:p>
            <w:pPr>
              <w:snapToGrid w:val="0"/>
              <w:spacing w:line="312" w:lineRule="auto"/>
              <w:rPr>
                <w:sz w:val="24"/>
              </w:rPr>
            </w:pPr>
            <w:r>
              <w:rPr>
                <w:sz w:val="24"/>
              </w:rPr>
              <w:t>经纪公司：</w:t>
            </w:r>
          </w:p>
        </w:tc>
        <w:tc>
          <w:tcPr>
            <w:tcW w:w="7042" w:type="dxa"/>
            <w:vAlign w:val="center"/>
          </w:tcPr>
          <w:p>
            <w:pPr>
              <w:snapToGrid w:val="0"/>
              <w:spacing w:line="312" w:lineRule="auto"/>
              <w:rPr>
                <w:sz w:val="24"/>
              </w:rPr>
            </w:pPr>
            <w:r>
              <w:rPr>
                <w:sz w:val="24"/>
              </w:rPr>
              <w:t>江泰保险经纪股份有限公司</w:t>
            </w:r>
            <w:r>
              <w:rPr>
                <w:rFonts w:hint="eastAsia"/>
                <w:sz w:val="24"/>
              </w:rPr>
              <w:t>南通分公司</w:t>
            </w:r>
          </w:p>
        </w:tc>
      </w:tr>
      <w:tr>
        <w:tblPrEx>
          <w:tblCellMar>
            <w:top w:w="0" w:type="dxa"/>
            <w:left w:w="108" w:type="dxa"/>
            <w:bottom w:w="0" w:type="dxa"/>
            <w:right w:w="108" w:type="dxa"/>
          </w:tblCellMar>
        </w:tblPrEx>
        <w:trPr>
          <w:trHeight w:val="109" w:hRule="atLeast"/>
        </w:trPr>
        <w:tc>
          <w:tcPr>
            <w:tcW w:w="1526" w:type="dxa"/>
            <w:vAlign w:val="center"/>
          </w:tcPr>
          <w:p>
            <w:pPr>
              <w:pStyle w:val="8"/>
              <w:snapToGrid w:val="0"/>
              <w:spacing w:line="312" w:lineRule="auto"/>
              <w:ind w:firstLine="0"/>
              <w:rPr>
                <w:kern w:val="2"/>
                <w:sz w:val="24"/>
              </w:rPr>
            </w:pPr>
            <w:r>
              <w:rPr>
                <w:kern w:val="2"/>
                <w:sz w:val="24"/>
              </w:rPr>
              <w:t>联 系 人：</w:t>
            </w:r>
          </w:p>
        </w:tc>
        <w:tc>
          <w:tcPr>
            <w:tcW w:w="7042" w:type="dxa"/>
          </w:tcPr>
          <w:p>
            <w:pPr>
              <w:pStyle w:val="8"/>
              <w:snapToGrid w:val="0"/>
              <w:spacing w:line="312" w:lineRule="auto"/>
              <w:ind w:firstLine="0"/>
              <w:jc w:val="left"/>
              <w:rPr>
                <w:sz w:val="24"/>
              </w:rPr>
            </w:pPr>
            <w:r>
              <w:rPr>
                <w:rFonts w:hint="eastAsia"/>
                <w:sz w:val="24"/>
              </w:rPr>
              <w:t>周克荣、钱祥富</w:t>
            </w:r>
            <w:r>
              <w:rPr>
                <w:sz w:val="24"/>
              </w:rPr>
              <w:t xml:space="preserve">                    </w:t>
            </w:r>
          </w:p>
        </w:tc>
      </w:tr>
      <w:tr>
        <w:tblPrEx>
          <w:tblCellMar>
            <w:top w:w="0" w:type="dxa"/>
            <w:left w:w="108" w:type="dxa"/>
            <w:bottom w:w="0" w:type="dxa"/>
            <w:right w:w="108" w:type="dxa"/>
          </w:tblCellMar>
        </w:tblPrEx>
        <w:trPr>
          <w:trHeight w:val="80" w:hRule="atLeast"/>
        </w:trPr>
        <w:tc>
          <w:tcPr>
            <w:tcW w:w="1526" w:type="dxa"/>
            <w:vAlign w:val="center"/>
          </w:tcPr>
          <w:p>
            <w:pPr>
              <w:pStyle w:val="8"/>
              <w:tabs>
                <w:tab w:val="left" w:pos="6820"/>
              </w:tabs>
              <w:snapToGrid w:val="0"/>
              <w:spacing w:line="312" w:lineRule="auto"/>
              <w:ind w:firstLine="0"/>
              <w:rPr>
                <w:kern w:val="2"/>
                <w:sz w:val="24"/>
              </w:rPr>
            </w:pPr>
            <w:r>
              <w:rPr>
                <w:kern w:val="2"/>
                <w:sz w:val="24"/>
              </w:rPr>
              <w:t>电    话：</w:t>
            </w:r>
          </w:p>
        </w:tc>
        <w:tc>
          <w:tcPr>
            <w:tcW w:w="7042" w:type="dxa"/>
          </w:tcPr>
          <w:p>
            <w:pPr>
              <w:pStyle w:val="8"/>
              <w:tabs>
                <w:tab w:val="left" w:pos="6820"/>
              </w:tabs>
              <w:snapToGrid w:val="0"/>
              <w:spacing w:line="312" w:lineRule="auto"/>
              <w:ind w:firstLine="0"/>
              <w:jc w:val="left"/>
              <w:rPr>
                <w:sz w:val="24"/>
              </w:rPr>
            </w:pPr>
            <w:r>
              <w:rPr>
                <w:rFonts w:hint="eastAsia"/>
                <w:sz w:val="24"/>
              </w:rPr>
              <w:t>座机：0513-81105037    手机：15250668266、13862964816</w:t>
            </w:r>
          </w:p>
        </w:tc>
      </w:tr>
      <w:tr>
        <w:tblPrEx>
          <w:tblCellMar>
            <w:top w:w="0" w:type="dxa"/>
            <w:left w:w="108" w:type="dxa"/>
            <w:bottom w:w="0" w:type="dxa"/>
            <w:right w:w="108" w:type="dxa"/>
          </w:tblCellMar>
        </w:tblPrEx>
        <w:trPr>
          <w:trHeight w:val="80" w:hRule="atLeast"/>
        </w:trPr>
        <w:tc>
          <w:tcPr>
            <w:tcW w:w="1526" w:type="dxa"/>
            <w:vAlign w:val="center"/>
          </w:tcPr>
          <w:p>
            <w:pPr>
              <w:pStyle w:val="8"/>
              <w:snapToGrid w:val="0"/>
              <w:spacing w:line="312" w:lineRule="auto"/>
              <w:ind w:firstLine="0"/>
              <w:rPr>
                <w:kern w:val="2"/>
                <w:sz w:val="24"/>
              </w:rPr>
            </w:pPr>
            <w:r>
              <w:rPr>
                <w:kern w:val="2"/>
                <w:sz w:val="24"/>
              </w:rPr>
              <w:t>邮    箱：</w:t>
            </w:r>
          </w:p>
        </w:tc>
        <w:tc>
          <w:tcPr>
            <w:tcW w:w="7042" w:type="dxa"/>
          </w:tcPr>
          <w:p>
            <w:pPr>
              <w:pStyle w:val="8"/>
              <w:snapToGrid w:val="0"/>
              <w:spacing w:line="312" w:lineRule="auto"/>
              <w:ind w:firstLine="0"/>
              <w:jc w:val="left"/>
              <w:rPr>
                <w:sz w:val="24"/>
              </w:rPr>
            </w:pPr>
            <w:r>
              <w:rPr>
                <w:rFonts w:hint="eastAsia"/>
                <w:sz w:val="24"/>
              </w:rPr>
              <w:t>Zhoukerong@jiangtai.com、qianxiangfu@jiangtai.com</w:t>
            </w:r>
          </w:p>
        </w:tc>
      </w:tr>
      <w:tr>
        <w:tblPrEx>
          <w:tblCellMar>
            <w:top w:w="0" w:type="dxa"/>
            <w:left w:w="108" w:type="dxa"/>
            <w:bottom w:w="0" w:type="dxa"/>
            <w:right w:w="108" w:type="dxa"/>
          </w:tblCellMar>
        </w:tblPrEx>
        <w:trPr>
          <w:trHeight w:val="94" w:hRule="atLeast"/>
        </w:trPr>
        <w:tc>
          <w:tcPr>
            <w:tcW w:w="1526" w:type="dxa"/>
            <w:vAlign w:val="center"/>
          </w:tcPr>
          <w:p>
            <w:pPr>
              <w:pStyle w:val="8"/>
              <w:snapToGrid w:val="0"/>
              <w:spacing w:line="312" w:lineRule="auto"/>
              <w:ind w:firstLine="0"/>
              <w:rPr>
                <w:kern w:val="2"/>
                <w:sz w:val="24"/>
              </w:rPr>
            </w:pPr>
            <w:r>
              <w:rPr>
                <w:kern w:val="2"/>
                <w:sz w:val="24"/>
              </w:rPr>
              <w:t>地    址：</w:t>
            </w:r>
          </w:p>
        </w:tc>
        <w:tc>
          <w:tcPr>
            <w:tcW w:w="7042" w:type="dxa"/>
            <w:vAlign w:val="center"/>
          </w:tcPr>
          <w:p>
            <w:pPr>
              <w:widowControl/>
              <w:spacing w:line="23" w:lineRule="atLeast"/>
              <w:rPr>
                <w:sz w:val="24"/>
              </w:rPr>
            </w:pPr>
            <w:r>
              <w:rPr>
                <w:rFonts w:hint="eastAsia"/>
                <w:sz w:val="24"/>
              </w:rPr>
              <w:t>江苏省南通市崇川区中南世纪城20幢406</w:t>
            </w:r>
          </w:p>
        </w:tc>
      </w:tr>
      <w:tr>
        <w:tblPrEx>
          <w:tblCellMar>
            <w:top w:w="0" w:type="dxa"/>
            <w:left w:w="108" w:type="dxa"/>
            <w:bottom w:w="0" w:type="dxa"/>
            <w:right w:w="108" w:type="dxa"/>
          </w:tblCellMar>
        </w:tblPrEx>
        <w:trPr>
          <w:trHeight w:val="80" w:hRule="atLeast"/>
        </w:trPr>
        <w:tc>
          <w:tcPr>
            <w:tcW w:w="1526" w:type="dxa"/>
            <w:vAlign w:val="center"/>
          </w:tcPr>
          <w:p>
            <w:pPr>
              <w:pStyle w:val="8"/>
              <w:snapToGrid w:val="0"/>
              <w:spacing w:line="312" w:lineRule="auto"/>
              <w:ind w:firstLine="0"/>
              <w:rPr>
                <w:kern w:val="2"/>
                <w:sz w:val="24"/>
              </w:rPr>
            </w:pPr>
            <w:r>
              <w:rPr>
                <w:kern w:val="2"/>
                <w:sz w:val="24"/>
              </w:rPr>
              <w:t>邮    编：</w:t>
            </w:r>
          </w:p>
        </w:tc>
        <w:tc>
          <w:tcPr>
            <w:tcW w:w="7042" w:type="dxa"/>
            <w:vAlign w:val="center"/>
          </w:tcPr>
          <w:p>
            <w:pPr>
              <w:pStyle w:val="8"/>
              <w:snapToGrid w:val="0"/>
              <w:spacing w:line="312" w:lineRule="auto"/>
              <w:ind w:firstLine="0"/>
              <w:rPr>
                <w:kern w:val="2"/>
                <w:sz w:val="24"/>
              </w:rPr>
            </w:pPr>
            <w:r>
              <w:rPr>
                <w:rFonts w:hint="eastAsia"/>
                <w:kern w:val="2"/>
                <w:sz w:val="24"/>
              </w:rPr>
              <w:t>226018</w:t>
            </w:r>
          </w:p>
        </w:tc>
      </w:tr>
    </w:tbl>
    <w:p>
      <w:pPr>
        <w:snapToGrid w:val="0"/>
        <w:spacing w:line="360" w:lineRule="auto"/>
        <w:ind w:right="-1"/>
        <w:jc w:val="right"/>
        <w:rPr>
          <w:sz w:val="24"/>
        </w:rPr>
      </w:pPr>
    </w:p>
    <w:p>
      <w:pPr>
        <w:pStyle w:val="2"/>
      </w:pPr>
    </w:p>
    <w:p>
      <w:pPr>
        <w:pStyle w:val="45"/>
        <w:rPr>
          <w:sz w:val="24"/>
        </w:rPr>
      </w:pPr>
    </w:p>
    <w:p>
      <w:pPr>
        <w:pStyle w:val="45"/>
        <w:rPr>
          <w:sz w:val="24"/>
        </w:rPr>
      </w:pPr>
    </w:p>
    <w:p>
      <w:pPr>
        <w:snapToGrid w:val="0"/>
        <w:spacing w:line="360" w:lineRule="auto"/>
        <w:jc w:val="right"/>
        <w:rPr>
          <w:sz w:val="24"/>
        </w:rPr>
      </w:pPr>
      <w:r>
        <w:rPr>
          <w:rFonts w:hint="eastAsia"/>
          <w:sz w:val="24"/>
        </w:rPr>
        <w:t>江苏大生集团有限公司</w:t>
      </w:r>
    </w:p>
    <w:p>
      <w:pPr>
        <w:snapToGrid w:val="0"/>
        <w:spacing w:line="360" w:lineRule="auto"/>
        <w:jc w:val="right"/>
        <w:rPr>
          <w:rFonts w:hAnsi="宋体"/>
          <w:b/>
          <w:snapToGrid w:val="0"/>
          <w:sz w:val="28"/>
          <w:szCs w:val="28"/>
        </w:rPr>
      </w:pPr>
      <w:r>
        <w:rPr>
          <w:rFonts w:hint="eastAsia"/>
          <w:sz w:val="24"/>
          <w:highlight w:val="none"/>
        </w:rPr>
        <w:t>202</w:t>
      </w:r>
      <w:r>
        <w:rPr>
          <w:rFonts w:hint="eastAsia"/>
          <w:sz w:val="24"/>
          <w:highlight w:val="none"/>
          <w:lang w:val="en-US" w:eastAsia="zh-CN"/>
        </w:rPr>
        <w:t>3</w:t>
      </w:r>
      <w:r>
        <w:rPr>
          <w:sz w:val="24"/>
          <w:highlight w:val="none"/>
        </w:rPr>
        <w:t>年</w:t>
      </w:r>
      <w:r>
        <w:rPr>
          <w:rFonts w:hint="eastAsia"/>
          <w:sz w:val="24"/>
          <w:highlight w:val="none"/>
        </w:rPr>
        <w:t>0</w:t>
      </w:r>
      <w:r>
        <w:rPr>
          <w:rFonts w:hint="eastAsia"/>
          <w:sz w:val="24"/>
          <w:highlight w:val="none"/>
          <w:lang w:val="en-US" w:eastAsia="zh-CN"/>
        </w:rPr>
        <w:t>7</w:t>
      </w:r>
      <w:r>
        <w:rPr>
          <w:sz w:val="24"/>
          <w:highlight w:val="none"/>
        </w:rPr>
        <w:t>月</w:t>
      </w:r>
      <w:r>
        <w:rPr>
          <w:rFonts w:hint="eastAsia"/>
          <w:sz w:val="24"/>
          <w:highlight w:val="none"/>
          <w:lang w:val="en-US" w:eastAsia="zh-CN"/>
        </w:rPr>
        <w:t>24</w:t>
      </w:r>
      <w:r>
        <w:rPr>
          <w:sz w:val="24"/>
          <w:highlight w:val="none"/>
        </w:rPr>
        <w:t>日</w:t>
      </w:r>
      <w:r>
        <w:rPr>
          <w:rFonts w:hAnsi="宋体"/>
          <w:b/>
          <w:snapToGrid w:val="0"/>
          <w:sz w:val="28"/>
          <w:szCs w:val="28"/>
        </w:rPr>
        <w:br w:type="page"/>
      </w:r>
    </w:p>
    <w:p>
      <w:pPr>
        <w:pStyle w:val="5"/>
        <w:snapToGrid w:val="0"/>
        <w:spacing w:before="120" w:after="120" w:line="240" w:lineRule="auto"/>
        <w:jc w:val="center"/>
        <w:rPr>
          <w:rFonts w:ascii="Times New Roman" w:hAnsi="宋体" w:eastAsia="宋体"/>
          <w:snapToGrid w:val="0"/>
        </w:rPr>
      </w:pPr>
      <w:bookmarkStart w:id="21" w:name="_Toc32129"/>
      <w:bookmarkStart w:id="22" w:name="_Toc24010"/>
      <w:bookmarkStart w:id="23" w:name="_Toc15764"/>
      <w:bookmarkStart w:id="24" w:name="_Toc13495"/>
      <w:bookmarkStart w:id="25" w:name="_Toc2310"/>
      <w:bookmarkStart w:id="26" w:name="_Toc13306"/>
      <w:bookmarkStart w:id="27" w:name="_Toc26880"/>
      <w:bookmarkStart w:id="28" w:name="_Toc32068"/>
      <w:bookmarkStart w:id="29" w:name="_Toc22599"/>
      <w:bookmarkStart w:id="30" w:name="_Toc9127"/>
      <w:bookmarkStart w:id="31" w:name="_Toc7030"/>
      <w:bookmarkStart w:id="32" w:name="_Toc9571"/>
      <w:bookmarkStart w:id="33" w:name="_Toc22925"/>
      <w:bookmarkStart w:id="34" w:name="_Toc6839"/>
      <w:bookmarkStart w:id="35" w:name="_Toc29421"/>
      <w:bookmarkStart w:id="36" w:name="_Toc20881"/>
      <w:bookmarkStart w:id="37" w:name="_Toc3634"/>
      <w:bookmarkStart w:id="38" w:name="_Toc28101"/>
      <w:bookmarkStart w:id="39" w:name="_Toc17112"/>
      <w:bookmarkStart w:id="40" w:name="_Toc10580"/>
      <w:bookmarkStart w:id="41" w:name="_Toc22245"/>
      <w:r>
        <w:rPr>
          <w:rFonts w:ascii="Times New Roman" w:hAnsi="宋体" w:eastAsia="宋体"/>
          <w:snapToGrid w:val="0"/>
        </w:rPr>
        <w:t>第二部分  投标须知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6"/>
        <w:snapToGrid w:val="0"/>
        <w:spacing w:before="120" w:after="120" w:line="240" w:lineRule="auto"/>
        <w:jc w:val="center"/>
        <w:rPr>
          <w:sz w:val="28"/>
          <w:szCs w:val="28"/>
        </w:rPr>
      </w:pPr>
      <w:bookmarkStart w:id="42" w:name="_Toc25392"/>
      <w:bookmarkStart w:id="43" w:name="_Toc19017"/>
      <w:bookmarkStart w:id="44" w:name="_Toc4402"/>
      <w:bookmarkStart w:id="45" w:name="_Toc17407"/>
      <w:bookmarkStart w:id="46" w:name="_Toc4283"/>
      <w:bookmarkStart w:id="47" w:name="_Toc27714"/>
      <w:bookmarkStart w:id="48" w:name="_Toc24452"/>
      <w:bookmarkStart w:id="49" w:name="_Toc21461"/>
      <w:bookmarkStart w:id="50" w:name="_Toc13200"/>
      <w:bookmarkStart w:id="51" w:name="_Toc28059"/>
      <w:bookmarkStart w:id="52" w:name="_Toc31915"/>
      <w:bookmarkStart w:id="53" w:name="_Toc6165"/>
      <w:bookmarkStart w:id="54" w:name="_Toc31617"/>
      <w:bookmarkStart w:id="55" w:name="_Toc19002"/>
      <w:bookmarkStart w:id="56" w:name="_Toc16395"/>
      <w:bookmarkStart w:id="57" w:name="_Toc10558"/>
      <w:bookmarkStart w:id="58" w:name="_Toc17576"/>
      <w:bookmarkStart w:id="59" w:name="_Toc30473"/>
      <w:bookmarkStart w:id="60" w:name="_Toc32227"/>
      <w:bookmarkStart w:id="61" w:name="_Toc8643"/>
      <w:bookmarkStart w:id="62" w:name="_Toc14604"/>
      <w:r>
        <w:rPr>
          <w:sz w:val="28"/>
          <w:szCs w:val="28"/>
        </w:rPr>
        <w:t>前附表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bl>
      <w:tblPr>
        <w:tblStyle w:val="24"/>
        <w:tblW w:w="8753"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4"/>
        <w:gridCol w:w="1893"/>
        <w:gridCol w:w="60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trPr>
        <w:tc>
          <w:tcPr>
            <w:tcW w:w="804" w:type="dxa"/>
            <w:shd w:val="clear" w:color="auto" w:fill="E0E0E0"/>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textAlignment w:val="auto"/>
              <w:rPr>
                <w:b/>
                <w:bCs/>
                <w:kern w:val="2"/>
              </w:rPr>
            </w:pPr>
            <w:r>
              <w:rPr>
                <w:rFonts w:hAnsi="宋体"/>
                <w:b/>
                <w:bCs/>
                <w:kern w:val="2"/>
              </w:rPr>
              <w:t>序号</w:t>
            </w:r>
          </w:p>
        </w:tc>
        <w:tc>
          <w:tcPr>
            <w:tcW w:w="1893" w:type="dxa"/>
            <w:shd w:val="clear" w:color="auto" w:fill="E0E0E0"/>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textAlignment w:val="auto"/>
              <w:rPr>
                <w:rFonts w:hAnsi="宋体"/>
                <w:b/>
                <w:bCs/>
                <w:kern w:val="2"/>
              </w:rPr>
            </w:pPr>
            <w:r>
              <w:rPr>
                <w:rFonts w:hint="eastAsia" w:hAnsi="宋体"/>
                <w:b/>
                <w:bCs/>
                <w:kern w:val="2"/>
              </w:rPr>
              <w:t>名称</w:t>
            </w:r>
          </w:p>
        </w:tc>
        <w:tc>
          <w:tcPr>
            <w:tcW w:w="6056" w:type="dxa"/>
            <w:shd w:val="clear" w:color="auto" w:fill="E0E0E0"/>
            <w:vAlign w:val="center"/>
          </w:tcPr>
          <w:p>
            <w:pPr>
              <w:snapToGrid w:val="0"/>
              <w:jc w:val="center"/>
              <w:rPr>
                <w:b/>
                <w:bCs/>
                <w:sz w:val="24"/>
                <w:szCs w:val="24"/>
              </w:rPr>
            </w:pPr>
            <w:r>
              <w:rPr>
                <w:rFonts w:hAnsi="宋体"/>
                <w:b/>
                <w:bCs/>
                <w:sz w:val="24"/>
                <w:szCs w:val="24"/>
              </w:rPr>
              <w:t>主要内容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804" w:type="dxa"/>
            <w:vAlign w:val="center"/>
          </w:tcPr>
          <w:p>
            <w:pPr>
              <w:snapToGrid w:val="0"/>
              <w:jc w:val="center"/>
              <w:rPr>
                <w:sz w:val="24"/>
                <w:szCs w:val="24"/>
              </w:rPr>
            </w:pPr>
            <w:r>
              <w:rPr>
                <w:sz w:val="24"/>
                <w:szCs w:val="24"/>
              </w:rPr>
              <w:t>1</w:t>
            </w:r>
          </w:p>
        </w:tc>
        <w:tc>
          <w:tcPr>
            <w:tcW w:w="1893" w:type="dxa"/>
            <w:vAlign w:val="center"/>
          </w:tcPr>
          <w:p>
            <w:pPr>
              <w:snapToGrid w:val="0"/>
              <w:jc w:val="center"/>
              <w:rPr>
                <w:sz w:val="24"/>
                <w:szCs w:val="24"/>
              </w:rPr>
            </w:pPr>
            <w:r>
              <w:rPr>
                <w:rFonts w:hint="eastAsia" w:hAnsi="宋体"/>
                <w:sz w:val="24"/>
                <w:szCs w:val="24"/>
              </w:rPr>
              <w:t>采购方</w:t>
            </w:r>
            <w:r>
              <w:rPr>
                <w:rFonts w:hAnsi="宋体"/>
                <w:sz w:val="24"/>
                <w:szCs w:val="24"/>
              </w:rPr>
              <w:t>式</w:t>
            </w:r>
          </w:p>
        </w:tc>
        <w:tc>
          <w:tcPr>
            <w:tcW w:w="6056" w:type="dxa"/>
            <w:vAlign w:val="center"/>
          </w:tcPr>
          <w:p>
            <w:pPr>
              <w:snapToGrid w:val="0"/>
              <w:spacing w:line="360" w:lineRule="auto"/>
              <w:rPr>
                <w:sz w:val="24"/>
                <w:szCs w:val="24"/>
              </w:rPr>
            </w:pPr>
            <w:r>
              <w:rPr>
                <w:rFonts w:hint="eastAsia" w:hAnsi="宋体"/>
                <w:sz w:val="24"/>
                <w:szCs w:val="24"/>
              </w:rPr>
              <w:t>公开</w:t>
            </w:r>
            <w:r>
              <w:rPr>
                <w:rFonts w:hAnsi="宋体"/>
                <w:sz w:val="24"/>
                <w:szCs w:val="24"/>
              </w:rPr>
              <w:t>招标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8" w:hRule="atLeast"/>
        </w:trPr>
        <w:tc>
          <w:tcPr>
            <w:tcW w:w="804" w:type="dxa"/>
            <w:vAlign w:val="center"/>
          </w:tcPr>
          <w:p>
            <w:pPr>
              <w:snapToGrid w:val="0"/>
              <w:jc w:val="center"/>
              <w:rPr>
                <w:sz w:val="24"/>
                <w:szCs w:val="24"/>
              </w:rPr>
            </w:pPr>
            <w:r>
              <w:rPr>
                <w:sz w:val="24"/>
                <w:szCs w:val="24"/>
              </w:rPr>
              <w:t>2</w:t>
            </w:r>
          </w:p>
        </w:tc>
        <w:tc>
          <w:tcPr>
            <w:tcW w:w="1893" w:type="dxa"/>
            <w:vAlign w:val="center"/>
          </w:tcPr>
          <w:p>
            <w:pPr>
              <w:snapToGrid w:val="0"/>
              <w:jc w:val="center"/>
              <w:rPr>
                <w:sz w:val="24"/>
                <w:szCs w:val="24"/>
              </w:rPr>
            </w:pPr>
            <w:r>
              <w:rPr>
                <w:rFonts w:hint="eastAsia" w:ascii="宋体" w:hAnsi="宋体" w:cs="Calibri"/>
                <w:sz w:val="24"/>
                <w:szCs w:val="24"/>
              </w:rPr>
              <w:t>项目名称</w:t>
            </w:r>
          </w:p>
        </w:tc>
        <w:tc>
          <w:tcPr>
            <w:tcW w:w="6056" w:type="dxa"/>
            <w:vAlign w:val="center"/>
          </w:tcPr>
          <w:p>
            <w:pPr>
              <w:snapToGrid w:val="0"/>
              <w:spacing w:line="360" w:lineRule="auto"/>
              <w:rPr>
                <w:sz w:val="24"/>
                <w:szCs w:val="24"/>
              </w:rPr>
            </w:pPr>
            <w:r>
              <w:rPr>
                <w:rFonts w:hint="eastAsia"/>
                <w:sz w:val="24"/>
                <w:szCs w:val="24"/>
              </w:rPr>
              <w:t>江苏大生集团有限公司财产保险项目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804" w:type="dxa"/>
            <w:vAlign w:val="center"/>
          </w:tcPr>
          <w:p>
            <w:pPr>
              <w:snapToGrid w:val="0"/>
              <w:jc w:val="center"/>
              <w:rPr>
                <w:sz w:val="24"/>
                <w:szCs w:val="24"/>
              </w:rPr>
            </w:pPr>
            <w:r>
              <w:rPr>
                <w:rFonts w:hint="eastAsia"/>
                <w:sz w:val="24"/>
                <w:szCs w:val="24"/>
              </w:rPr>
              <w:t>3</w:t>
            </w:r>
          </w:p>
        </w:tc>
        <w:tc>
          <w:tcPr>
            <w:tcW w:w="1893" w:type="dxa"/>
            <w:vAlign w:val="center"/>
          </w:tcPr>
          <w:p>
            <w:pPr>
              <w:snapToGrid w:val="0"/>
              <w:jc w:val="center"/>
              <w:rPr>
                <w:rFonts w:hAnsi="宋体"/>
                <w:sz w:val="24"/>
                <w:szCs w:val="24"/>
              </w:rPr>
            </w:pPr>
            <w:r>
              <w:rPr>
                <w:rFonts w:hint="eastAsia" w:ascii="宋体" w:hAnsi="宋体" w:cs="Calibri"/>
                <w:sz w:val="24"/>
                <w:szCs w:val="24"/>
              </w:rPr>
              <w:t>招标范围</w:t>
            </w:r>
          </w:p>
        </w:tc>
        <w:tc>
          <w:tcPr>
            <w:tcW w:w="6056" w:type="dxa"/>
            <w:vAlign w:val="center"/>
          </w:tcPr>
          <w:p>
            <w:pPr>
              <w:tabs>
                <w:tab w:val="left" w:pos="840"/>
              </w:tabs>
              <w:snapToGrid w:val="0"/>
              <w:spacing w:line="360" w:lineRule="auto"/>
              <w:ind w:left="22" w:hanging="21" w:hangingChars="9"/>
              <w:rPr>
                <w:rFonts w:hAnsi="宋体"/>
                <w:sz w:val="24"/>
                <w:szCs w:val="24"/>
              </w:rPr>
            </w:pPr>
            <w:r>
              <w:rPr>
                <w:rFonts w:hint="eastAsia" w:ascii="宋体" w:hAnsi="宋体" w:cs="Calibri"/>
                <w:sz w:val="24"/>
                <w:szCs w:val="24"/>
              </w:rPr>
              <w:t>财产综合险、机器损坏险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804" w:type="dxa"/>
            <w:vAlign w:val="center"/>
          </w:tcPr>
          <w:p>
            <w:pPr>
              <w:snapToGrid w:val="0"/>
              <w:jc w:val="center"/>
              <w:rPr>
                <w:sz w:val="24"/>
                <w:szCs w:val="24"/>
              </w:rPr>
            </w:pPr>
            <w:r>
              <w:rPr>
                <w:rFonts w:hint="eastAsia"/>
                <w:sz w:val="24"/>
                <w:szCs w:val="24"/>
              </w:rPr>
              <w:t>4</w:t>
            </w:r>
          </w:p>
        </w:tc>
        <w:tc>
          <w:tcPr>
            <w:tcW w:w="1893" w:type="dxa"/>
            <w:vAlign w:val="center"/>
          </w:tcPr>
          <w:p>
            <w:pPr>
              <w:snapToGrid w:val="0"/>
              <w:jc w:val="center"/>
              <w:rPr>
                <w:rFonts w:hAnsi="宋体"/>
                <w:sz w:val="24"/>
                <w:szCs w:val="24"/>
              </w:rPr>
            </w:pPr>
            <w:r>
              <w:rPr>
                <w:rFonts w:hAnsi="宋体"/>
                <w:sz w:val="24"/>
                <w:szCs w:val="24"/>
              </w:rPr>
              <w:t>招标文件答疑</w:t>
            </w:r>
          </w:p>
        </w:tc>
        <w:tc>
          <w:tcPr>
            <w:tcW w:w="6056" w:type="dxa"/>
            <w:vAlign w:val="center"/>
          </w:tcPr>
          <w:p>
            <w:pPr>
              <w:snapToGrid w:val="0"/>
              <w:spacing w:line="360" w:lineRule="auto"/>
              <w:ind w:left="2177" w:hanging="2176" w:hangingChars="907"/>
              <w:rPr>
                <w:sz w:val="24"/>
                <w:szCs w:val="24"/>
              </w:rPr>
            </w:pPr>
            <w:r>
              <w:rPr>
                <w:rFonts w:hAnsi="宋体"/>
                <w:sz w:val="24"/>
                <w:szCs w:val="24"/>
              </w:rPr>
              <w:t>时间：</w:t>
            </w:r>
            <w:r>
              <w:rPr>
                <w:rFonts w:hint="eastAsia"/>
                <w:sz w:val="24"/>
                <w:szCs w:val="24"/>
              </w:rPr>
              <w:t>202</w:t>
            </w:r>
            <w:r>
              <w:rPr>
                <w:rFonts w:hint="eastAsia"/>
                <w:sz w:val="24"/>
                <w:szCs w:val="24"/>
                <w:highlight w:val="none"/>
                <w:lang w:val="en-US" w:eastAsia="zh-CN"/>
              </w:rPr>
              <w:t>3</w:t>
            </w:r>
            <w:r>
              <w:rPr>
                <w:rFonts w:hint="eastAsia"/>
                <w:sz w:val="24"/>
                <w:szCs w:val="24"/>
                <w:highlight w:val="none"/>
              </w:rPr>
              <w:t>年0</w:t>
            </w:r>
            <w:r>
              <w:rPr>
                <w:rFonts w:hint="eastAsia"/>
                <w:sz w:val="24"/>
                <w:szCs w:val="24"/>
                <w:highlight w:val="none"/>
                <w:lang w:val="en-US" w:eastAsia="zh-CN"/>
              </w:rPr>
              <w:t>7</w:t>
            </w:r>
            <w:r>
              <w:rPr>
                <w:sz w:val="24"/>
                <w:highlight w:val="none"/>
              </w:rPr>
              <w:t>月</w:t>
            </w:r>
            <w:r>
              <w:rPr>
                <w:rFonts w:hint="eastAsia"/>
                <w:sz w:val="24"/>
                <w:highlight w:val="none"/>
                <w:lang w:val="en-US" w:eastAsia="zh-CN"/>
              </w:rPr>
              <w:t xml:space="preserve">30 </w:t>
            </w:r>
            <w:r>
              <w:rPr>
                <w:sz w:val="24"/>
                <w:highlight w:val="none"/>
              </w:rPr>
              <w:t>日</w:t>
            </w:r>
            <w:r>
              <w:rPr>
                <w:sz w:val="24"/>
                <w:szCs w:val="24"/>
                <w:highlight w:val="none"/>
              </w:rPr>
              <w:t>1</w:t>
            </w:r>
            <w:r>
              <w:rPr>
                <w:rFonts w:hint="eastAsia"/>
                <w:sz w:val="24"/>
                <w:szCs w:val="24"/>
              </w:rPr>
              <w:t>7</w:t>
            </w:r>
            <w:r>
              <w:rPr>
                <w:rFonts w:hAnsi="宋体"/>
                <w:sz w:val="24"/>
                <w:szCs w:val="24"/>
              </w:rPr>
              <w:t>：</w:t>
            </w:r>
            <w:r>
              <w:rPr>
                <w:sz w:val="24"/>
                <w:szCs w:val="24"/>
              </w:rPr>
              <w:t>00</w:t>
            </w:r>
            <w:r>
              <w:rPr>
                <w:rFonts w:hAnsi="宋体"/>
                <w:sz w:val="24"/>
                <w:szCs w:val="24"/>
              </w:rPr>
              <w:t>时前</w:t>
            </w:r>
          </w:p>
          <w:p>
            <w:pPr>
              <w:snapToGrid w:val="0"/>
              <w:spacing w:line="360" w:lineRule="auto"/>
              <w:ind w:left="799" w:hanging="799" w:hangingChars="333"/>
              <w:rPr>
                <w:rFonts w:hAnsi="宋体"/>
                <w:sz w:val="24"/>
                <w:szCs w:val="24"/>
              </w:rPr>
            </w:pPr>
            <w:r>
              <w:rPr>
                <w:rFonts w:hAnsi="宋体"/>
                <w:sz w:val="24"/>
                <w:szCs w:val="24"/>
              </w:rPr>
              <w:t>形式</w:t>
            </w:r>
            <w:r>
              <w:rPr>
                <w:sz w:val="24"/>
                <w:szCs w:val="24"/>
              </w:rPr>
              <w:t xml:space="preserve">: </w:t>
            </w:r>
            <w:r>
              <w:rPr>
                <w:rFonts w:hAnsi="宋体"/>
                <w:sz w:val="24"/>
                <w:szCs w:val="24"/>
              </w:rPr>
              <w:t>采用书面形式（包括信函、传真）发送至江泰公司，</w:t>
            </w:r>
            <w:r>
              <w:rPr>
                <w:rFonts w:hint="eastAsia"/>
                <w:sz w:val="24"/>
                <w:szCs w:val="24"/>
              </w:rPr>
              <w:t>202</w:t>
            </w:r>
            <w:r>
              <w:rPr>
                <w:rFonts w:hint="eastAsia"/>
                <w:sz w:val="24"/>
                <w:szCs w:val="24"/>
                <w:highlight w:val="none"/>
                <w:lang w:val="en-US" w:eastAsia="zh-CN"/>
              </w:rPr>
              <w:t>3</w:t>
            </w:r>
            <w:r>
              <w:rPr>
                <w:rFonts w:hint="eastAsia"/>
                <w:sz w:val="24"/>
                <w:szCs w:val="24"/>
                <w:highlight w:val="none"/>
              </w:rPr>
              <w:t>年0</w:t>
            </w:r>
            <w:r>
              <w:rPr>
                <w:rFonts w:hint="eastAsia"/>
                <w:sz w:val="24"/>
                <w:szCs w:val="24"/>
                <w:highlight w:val="none"/>
                <w:lang w:val="en-US" w:eastAsia="zh-CN"/>
              </w:rPr>
              <w:t>8</w:t>
            </w:r>
            <w:r>
              <w:rPr>
                <w:sz w:val="24"/>
                <w:highlight w:val="none"/>
              </w:rPr>
              <w:t>月</w:t>
            </w:r>
            <w:r>
              <w:rPr>
                <w:rFonts w:hint="eastAsia"/>
                <w:sz w:val="24"/>
                <w:highlight w:val="none"/>
                <w:lang w:val="en-US" w:eastAsia="zh-CN"/>
              </w:rPr>
              <w:t>01</w:t>
            </w:r>
            <w:r>
              <w:rPr>
                <w:sz w:val="24"/>
                <w:highlight w:val="none"/>
              </w:rPr>
              <w:t>日</w:t>
            </w:r>
            <w:r>
              <w:rPr>
                <w:sz w:val="24"/>
                <w:szCs w:val="24"/>
                <w:highlight w:val="none"/>
              </w:rPr>
              <w:t>1</w:t>
            </w:r>
            <w:r>
              <w:rPr>
                <w:rFonts w:hint="eastAsia"/>
                <w:sz w:val="24"/>
                <w:szCs w:val="24"/>
                <w:highlight w:val="none"/>
              </w:rPr>
              <w:t>2</w:t>
            </w:r>
            <w:r>
              <w:rPr>
                <w:rFonts w:hAnsi="宋体"/>
                <w:sz w:val="24"/>
                <w:szCs w:val="24"/>
              </w:rPr>
              <w:t>：</w:t>
            </w:r>
            <w:r>
              <w:rPr>
                <w:sz w:val="24"/>
                <w:szCs w:val="24"/>
              </w:rPr>
              <w:t>00</w:t>
            </w:r>
            <w:r>
              <w:rPr>
                <w:rFonts w:hAnsi="宋体"/>
                <w:sz w:val="24"/>
                <w:szCs w:val="24"/>
              </w:rPr>
              <w:t>前将予以补遗回复。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2" w:hRule="atLeast"/>
        </w:trPr>
        <w:tc>
          <w:tcPr>
            <w:tcW w:w="804" w:type="dxa"/>
            <w:vAlign w:val="center"/>
          </w:tcPr>
          <w:p>
            <w:pPr>
              <w:snapToGrid w:val="0"/>
              <w:jc w:val="center"/>
              <w:rPr>
                <w:sz w:val="24"/>
                <w:szCs w:val="24"/>
              </w:rPr>
            </w:pPr>
            <w:r>
              <w:rPr>
                <w:rFonts w:hint="eastAsia"/>
                <w:sz w:val="24"/>
                <w:szCs w:val="24"/>
              </w:rPr>
              <w:t>5</w:t>
            </w:r>
          </w:p>
        </w:tc>
        <w:tc>
          <w:tcPr>
            <w:tcW w:w="1893" w:type="dxa"/>
            <w:vAlign w:val="center"/>
          </w:tcPr>
          <w:p>
            <w:pPr>
              <w:snapToGrid w:val="0"/>
              <w:jc w:val="center"/>
              <w:rPr>
                <w:sz w:val="24"/>
                <w:szCs w:val="24"/>
              </w:rPr>
            </w:pPr>
            <w:r>
              <w:rPr>
                <w:rFonts w:hint="eastAsia"/>
                <w:sz w:val="24"/>
                <w:szCs w:val="24"/>
              </w:rPr>
              <w:t>正副本、电子版文件份数及要求</w:t>
            </w:r>
          </w:p>
        </w:tc>
        <w:tc>
          <w:tcPr>
            <w:tcW w:w="6056" w:type="dxa"/>
            <w:vAlign w:val="center"/>
          </w:tcPr>
          <w:p>
            <w:pPr>
              <w:snapToGrid w:val="0"/>
              <w:spacing w:line="360" w:lineRule="auto"/>
              <w:rPr>
                <w:sz w:val="24"/>
                <w:szCs w:val="24"/>
              </w:rPr>
            </w:pPr>
            <w:r>
              <w:rPr>
                <w:rFonts w:hAnsi="宋体"/>
                <w:sz w:val="24"/>
                <w:szCs w:val="24"/>
              </w:rPr>
              <w:t>投标文件正本</w:t>
            </w:r>
            <w:r>
              <w:rPr>
                <w:sz w:val="24"/>
                <w:szCs w:val="24"/>
                <w:u w:val="single"/>
              </w:rPr>
              <w:t>1</w:t>
            </w:r>
            <w:r>
              <w:rPr>
                <w:sz w:val="24"/>
                <w:szCs w:val="24"/>
              </w:rPr>
              <w:t xml:space="preserve"> </w:t>
            </w:r>
            <w:r>
              <w:rPr>
                <w:rFonts w:hAnsi="宋体"/>
                <w:sz w:val="24"/>
                <w:szCs w:val="24"/>
              </w:rPr>
              <w:t>份，副本</w:t>
            </w:r>
            <w:r>
              <w:rPr>
                <w:rFonts w:hint="eastAsia"/>
                <w:color w:val="auto"/>
                <w:sz w:val="24"/>
                <w:szCs w:val="24"/>
                <w:u w:val="single"/>
              </w:rPr>
              <w:t>3</w:t>
            </w:r>
            <w:r>
              <w:rPr>
                <w:rFonts w:hAnsi="宋体"/>
                <w:color w:val="auto"/>
                <w:sz w:val="24"/>
                <w:szCs w:val="24"/>
              </w:rPr>
              <w:t>份，电子版本</w:t>
            </w:r>
            <w:r>
              <w:rPr>
                <w:color w:val="auto"/>
                <w:sz w:val="24"/>
                <w:szCs w:val="24"/>
                <w:u w:val="single"/>
              </w:rPr>
              <w:t>1</w:t>
            </w:r>
            <w:r>
              <w:rPr>
                <w:rFonts w:hAnsi="宋体"/>
                <w:color w:val="auto"/>
                <w:sz w:val="24"/>
                <w:szCs w:val="24"/>
              </w:rPr>
              <w:t>份</w:t>
            </w:r>
            <w:r>
              <w:rPr>
                <w:rFonts w:hint="eastAsia" w:hAnsi="宋体"/>
                <w:color w:val="auto"/>
                <w:sz w:val="24"/>
                <w:szCs w:val="24"/>
              </w:rPr>
              <w:t>（U盘）</w:t>
            </w:r>
            <w:r>
              <w:rPr>
                <w:rFonts w:hAnsi="宋体"/>
                <w:color w:val="auto"/>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804" w:type="dxa"/>
            <w:vAlign w:val="center"/>
          </w:tcPr>
          <w:p>
            <w:pPr>
              <w:snapToGrid w:val="0"/>
              <w:jc w:val="center"/>
              <w:rPr>
                <w:sz w:val="24"/>
                <w:szCs w:val="24"/>
              </w:rPr>
            </w:pPr>
            <w:r>
              <w:rPr>
                <w:rFonts w:hint="eastAsia"/>
                <w:sz w:val="24"/>
                <w:szCs w:val="24"/>
              </w:rPr>
              <w:t>6</w:t>
            </w:r>
          </w:p>
        </w:tc>
        <w:tc>
          <w:tcPr>
            <w:tcW w:w="1893" w:type="dxa"/>
            <w:vAlign w:val="center"/>
          </w:tcPr>
          <w:p>
            <w:pPr>
              <w:snapToGrid w:val="0"/>
              <w:jc w:val="center"/>
              <w:rPr>
                <w:sz w:val="24"/>
                <w:szCs w:val="24"/>
              </w:rPr>
            </w:pPr>
            <w:r>
              <w:rPr>
                <w:rFonts w:hAnsi="宋体"/>
                <w:sz w:val="24"/>
                <w:szCs w:val="24"/>
              </w:rPr>
              <w:t>投标有效期</w:t>
            </w:r>
          </w:p>
        </w:tc>
        <w:tc>
          <w:tcPr>
            <w:tcW w:w="6056" w:type="dxa"/>
            <w:vAlign w:val="center"/>
          </w:tcPr>
          <w:p>
            <w:pPr>
              <w:snapToGrid w:val="0"/>
              <w:spacing w:line="360" w:lineRule="auto"/>
              <w:rPr>
                <w:sz w:val="24"/>
                <w:szCs w:val="24"/>
              </w:rPr>
            </w:pPr>
            <w:r>
              <w:rPr>
                <w:rFonts w:hAnsi="宋体"/>
                <w:sz w:val="24"/>
                <w:szCs w:val="24"/>
              </w:rPr>
              <w:t>自投标截止之日起</w:t>
            </w:r>
            <w:r>
              <w:rPr>
                <w:sz w:val="24"/>
                <w:szCs w:val="24"/>
                <w:u w:val="single"/>
              </w:rPr>
              <w:t>90</w:t>
            </w:r>
            <w:r>
              <w:rPr>
                <w:rFonts w:hAnsi="宋体"/>
                <w:sz w:val="24"/>
                <w:szCs w:val="24"/>
              </w:rPr>
              <w:t>个日历日。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trPr>
        <w:tc>
          <w:tcPr>
            <w:tcW w:w="804" w:type="dxa"/>
            <w:vAlign w:val="center"/>
          </w:tcPr>
          <w:p>
            <w:pPr>
              <w:snapToGrid w:val="0"/>
              <w:jc w:val="center"/>
              <w:rPr>
                <w:sz w:val="24"/>
                <w:szCs w:val="24"/>
              </w:rPr>
            </w:pPr>
            <w:r>
              <w:rPr>
                <w:rFonts w:hint="eastAsia"/>
                <w:sz w:val="24"/>
                <w:szCs w:val="24"/>
              </w:rPr>
              <w:t>7</w:t>
            </w:r>
          </w:p>
        </w:tc>
        <w:tc>
          <w:tcPr>
            <w:tcW w:w="1893" w:type="dxa"/>
            <w:vAlign w:val="center"/>
          </w:tcPr>
          <w:p>
            <w:pPr>
              <w:snapToGrid w:val="0"/>
              <w:jc w:val="center"/>
              <w:rPr>
                <w:sz w:val="24"/>
                <w:szCs w:val="24"/>
              </w:rPr>
            </w:pPr>
            <w:r>
              <w:rPr>
                <w:rFonts w:hAnsi="宋体"/>
                <w:sz w:val="24"/>
                <w:szCs w:val="24"/>
              </w:rPr>
              <w:t>投标文件</w:t>
            </w:r>
            <w:r>
              <w:rPr>
                <w:rFonts w:hint="eastAsia" w:hAnsi="宋体"/>
                <w:sz w:val="24"/>
                <w:szCs w:val="24"/>
              </w:rPr>
              <w:t>递交</w:t>
            </w:r>
            <w:r>
              <w:rPr>
                <w:rFonts w:hAnsi="宋体"/>
                <w:sz w:val="24"/>
                <w:szCs w:val="24"/>
              </w:rPr>
              <w:t>截止时间</w:t>
            </w:r>
            <w:r>
              <w:rPr>
                <w:rFonts w:hint="eastAsia" w:hAnsi="宋体"/>
                <w:sz w:val="24"/>
                <w:szCs w:val="24"/>
              </w:rPr>
              <w:t>、递交地址</w:t>
            </w:r>
          </w:p>
        </w:tc>
        <w:tc>
          <w:tcPr>
            <w:tcW w:w="6056" w:type="dxa"/>
            <w:vAlign w:val="center"/>
          </w:tcPr>
          <w:p>
            <w:pPr>
              <w:snapToGrid w:val="0"/>
              <w:spacing w:line="360" w:lineRule="auto"/>
              <w:ind w:firstLine="240" w:firstLineChars="100"/>
              <w:rPr>
                <w:rFonts w:hint="default" w:eastAsia="宋体"/>
                <w:sz w:val="24"/>
                <w:szCs w:val="24"/>
                <w:lang w:val="en-US" w:eastAsia="zh-CN"/>
              </w:rPr>
            </w:pPr>
            <w:r>
              <w:rPr>
                <w:sz w:val="24"/>
                <w:szCs w:val="22"/>
              </w:rPr>
              <w:t>投标文件送交的截止时间为20</w:t>
            </w:r>
            <w:r>
              <w:rPr>
                <w:rFonts w:hint="eastAsia"/>
                <w:sz w:val="24"/>
                <w:szCs w:val="22"/>
              </w:rPr>
              <w:t>2</w:t>
            </w:r>
            <w:r>
              <w:rPr>
                <w:rFonts w:hint="eastAsia"/>
                <w:sz w:val="24"/>
                <w:szCs w:val="22"/>
                <w:lang w:val="en-US" w:eastAsia="zh-CN"/>
              </w:rPr>
              <w:t>3</w:t>
            </w:r>
            <w:r>
              <w:rPr>
                <w:sz w:val="24"/>
                <w:szCs w:val="22"/>
                <w:highlight w:val="none"/>
              </w:rPr>
              <w:t>年</w:t>
            </w:r>
            <w:r>
              <w:rPr>
                <w:rFonts w:hint="eastAsia"/>
                <w:sz w:val="24"/>
                <w:szCs w:val="22"/>
                <w:highlight w:val="none"/>
              </w:rPr>
              <w:t>0</w:t>
            </w:r>
            <w:r>
              <w:rPr>
                <w:rFonts w:hint="eastAsia"/>
                <w:sz w:val="24"/>
                <w:szCs w:val="22"/>
                <w:highlight w:val="none"/>
                <w:lang w:val="en-US" w:eastAsia="zh-CN"/>
              </w:rPr>
              <w:t>8</w:t>
            </w:r>
            <w:r>
              <w:rPr>
                <w:sz w:val="24"/>
                <w:highlight w:val="none"/>
              </w:rPr>
              <w:t>月</w:t>
            </w:r>
            <w:r>
              <w:rPr>
                <w:rFonts w:hint="eastAsia"/>
                <w:sz w:val="24"/>
                <w:highlight w:val="none"/>
                <w:lang w:val="en-US" w:eastAsia="zh-CN"/>
              </w:rPr>
              <w:t>08</w:t>
            </w:r>
            <w:r>
              <w:rPr>
                <w:sz w:val="24"/>
                <w:highlight w:val="none"/>
              </w:rPr>
              <w:t>日</w:t>
            </w:r>
            <w:r>
              <w:rPr>
                <w:rFonts w:hint="eastAsia"/>
                <w:sz w:val="24"/>
                <w:szCs w:val="22"/>
                <w:highlight w:val="none"/>
              </w:rPr>
              <w:t>9</w:t>
            </w:r>
            <w:r>
              <w:rPr>
                <w:sz w:val="24"/>
                <w:szCs w:val="22"/>
                <w:highlight w:val="none"/>
              </w:rPr>
              <w:t>：</w:t>
            </w:r>
            <w:r>
              <w:rPr>
                <w:rFonts w:hint="eastAsia"/>
                <w:sz w:val="24"/>
                <w:szCs w:val="22"/>
              </w:rPr>
              <w:t>3</w:t>
            </w:r>
            <w:r>
              <w:rPr>
                <w:sz w:val="24"/>
                <w:szCs w:val="22"/>
              </w:rPr>
              <w:t>0（北京时间），投标文件必须在上述时间之前</w:t>
            </w:r>
            <w:r>
              <w:rPr>
                <w:rFonts w:hint="eastAsia"/>
                <w:sz w:val="24"/>
                <w:szCs w:val="22"/>
              </w:rPr>
              <w:t>寄</w:t>
            </w:r>
            <w:r>
              <w:rPr>
                <w:sz w:val="24"/>
                <w:szCs w:val="22"/>
              </w:rPr>
              <w:t>交至</w:t>
            </w:r>
            <w:r>
              <w:rPr>
                <w:rFonts w:hint="eastAsia"/>
                <w:sz w:val="24"/>
                <w:szCs w:val="22"/>
              </w:rPr>
              <w:t>江苏省南通市</w:t>
            </w:r>
            <w:r>
              <w:rPr>
                <w:rFonts w:hint="eastAsia"/>
                <w:sz w:val="24"/>
                <w:szCs w:val="22"/>
                <w:lang w:val="en-US" w:eastAsia="zh-CN"/>
              </w:rPr>
              <w:t xml:space="preserve">港闸经济开发区大生路1号  </w:t>
            </w:r>
            <w:r>
              <w:rPr>
                <w:rFonts w:hint="eastAsia"/>
                <w:sz w:val="24"/>
                <w:szCs w:val="22"/>
              </w:rPr>
              <w:t> 江苏大生集团有限公司财务部，收件人：包雪峰 单杰锋 联系电话0513</w:t>
            </w:r>
            <w:r>
              <w:rPr>
                <w:rFonts w:hint="eastAsia"/>
                <w:sz w:val="24"/>
                <w:szCs w:val="22"/>
                <w:lang w:val="en-US" w:eastAsia="zh-CN"/>
              </w:rPr>
              <w:t>-89025540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8</w:t>
            </w:r>
          </w:p>
        </w:tc>
        <w:tc>
          <w:tcPr>
            <w:tcW w:w="1893" w:type="dxa"/>
            <w:vAlign w:val="center"/>
          </w:tcPr>
          <w:p>
            <w:pPr>
              <w:snapToGrid w:val="0"/>
              <w:spacing w:line="360" w:lineRule="auto"/>
              <w:rPr>
                <w:rFonts w:hAnsi="宋体"/>
                <w:sz w:val="24"/>
                <w:szCs w:val="24"/>
              </w:rPr>
            </w:pPr>
            <w:r>
              <w:rPr>
                <w:rFonts w:hAnsi="宋体"/>
                <w:sz w:val="24"/>
                <w:szCs w:val="24"/>
              </w:rPr>
              <w:t>投标人资质要求</w:t>
            </w:r>
          </w:p>
          <w:p>
            <w:pPr>
              <w:snapToGrid w:val="0"/>
              <w:jc w:val="center"/>
              <w:rPr>
                <w:sz w:val="24"/>
                <w:szCs w:val="24"/>
              </w:rPr>
            </w:pPr>
          </w:p>
        </w:tc>
        <w:tc>
          <w:tcPr>
            <w:tcW w:w="6056" w:type="dxa"/>
            <w:vAlign w:val="center"/>
          </w:tcPr>
          <w:p>
            <w:pPr>
              <w:tabs>
                <w:tab w:val="left" w:pos="1260"/>
              </w:tabs>
              <w:snapToGrid w:val="0"/>
              <w:spacing w:line="360" w:lineRule="auto"/>
              <w:ind w:firstLine="480" w:firstLineChars="200"/>
              <w:rPr>
                <w:sz w:val="24"/>
              </w:rPr>
            </w:pPr>
            <w:r>
              <w:rPr>
                <w:rFonts w:hint="eastAsia"/>
                <w:sz w:val="24"/>
                <w:szCs w:val="24"/>
              </w:rPr>
              <w:t>1）</w:t>
            </w:r>
            <w:r>
              <w:rPr>
                <w:sz w:val="24"/>
              </w:rPr>
              <w:t>投标人必须</w:t>
            </w:r>
            <w:r>
              <w:rPr>
                <w:rFonts w:hint="eastAsia"/>
                <w:sz w:val="24"/>
              </w:rPr>
              <w:t>具有独立法人资格或经其授权具有独立投标能力，并拥有中国银行保险监督管理委员会批准开展本保险业务的资格的财产保险公司</w:t>
            </w:r>
            <w:r>
              <w:rPr>
                <w:sz w:val="24"/>
              </w:rPr>
              <w:t>；</w:t>
            </w:r>
          </w:p>
          <w:p>
            <w:pPr>
              <w:tabs>
                <w:tab w:val="left" w:pos="1260"/>
              </w:tabs>
              <w:snapToGrid w:val="0"/>
              <w:spacing w:line="360" w:lineRule="auto"/>
              <w:ind w:firstLine="480" w:firstLineChars="200"/>
              <w:rPr>
                <w:sz w:val="24"/>
                <w:szCs w:val="24"/>
              </w:rPr>
            </w:pPr>
            <w:r>
              <w:rPr>
                <w:rFonts w:hint="eastAsia"/>
                <w:sz w:val="24"/>
              </w:rPr>
              <w:t>2）</w:t>
            </w:r>
            <w:r>
              <w:rPr>
                <w:sz w:val="24"/>
              </w:rPr>
              <w:t>本项目只接受</w:t>
            </w:r>
            <w:r>
              <w:rPr>
                <w:rFonts w:hint="eastAsia"/>
                <w:sz w:val="24"/>
              </w:rPr>
              <w:t>经</w:t>
            </w:r>
            <w:r>
              <w:rPr>
                <w:sz w:val="24"/>
              </w:rPr>
              <w:t>保险公司总公司</w:t>
            </w:r>
            <w:r>
              <w:rPr>
                <w:rFonts w:hint="eastAsia"/>
                <w:sz w:val="24"/>
              </w:rPr>
              <w:t>唯一授权的南通地市级机构公司</w:t>
            </w:r>
            <w:r>
              <w:rPr>
                <w:sz w:val="24"/>
              </w:rPr>
              <w:t>投标，不接受委托保险代理人参与本项目的投标</w:t>
            </w:r>
            <w:r>
              <w:rPr>
                <w:sz w:val="24"/>
                <w:szCs w:val="24"/>
              </w:rPr>
              <w:t>；</w:t>
            </w:r>
          </w:p>
          <w:p>
            <w:pPr>
              <w:tabs>
                <w:tab w:val="left" w:pos="1260"/>
              </w:tabs>
              <w:snapToGrid w:val="0"/>
              <w:spacing w:line="360" w:lineRule="auto"/>
              <w:rPr>
                <w:b/>
                <w:sz w:val="24"/>
                <w:szCs w:val="24"/>
              </w:rPr>
            </w:pPr>
            <w:r>
              <w:rPr>
                <w:rFonts w:hint="eastAsia"/>
                <w:sz w:val="24"/>
                <w:szCs w:val="24"/>
              </w:rPr>
              <w:t xml:space="preserve">    3）</w:t>
            </w:r>
            <w:r>
              <w:rPr>
                <w:sz w:val="24"/>
                <w:szCs w:val="24"/>
              </w:rPr>
              <w:t>本项目不接受联合体投标</w:t>
            </w:r>
            <w:r>
              <w:rPr>
                <w:rFonts w:hint="eastAsia"/>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9</w:t>
            </w:r>
          </w:p>
        </w:tc>
        <w:tc>
          <w:tcPr>
            <w:tcW w:w="1893" w:type="dxa"/>
            <w:vAlign w:val="center"/>
          </w:tcPr>
          <w:p>
            <w:pPr>
              <w:snapToGrid w:val="0"/>
              <w:jc w:val="center"/>
              <w:rPr>
                <w:sz w:val="24"/>
                <w:szCs w:val="24"/>
              </w:rPr>
            </w:pPr>
            <w:r>
              <w:rPr>
                <w:rFonts w:hAnsi="宋体"/>
                <w:sz w:val="24"/>
                <w:szCs w:val="24"/>
              </w:rPr>
              <w:t>保险谈判及中标通知</w:t>
            </w:r>
          </w:p>
        </w:tc>
        <w:tc>
          <w:tcPr>
            <w:tcW w:w="6056" w:type="dxa"/>
            <w:vAlign w:val="center"/>
          </w:tcPr>
          <w:p>
            <w:pPr>
              <w:snapToGrid w:val="0"/>
              <w:spacing w:line="360" w:lineRule="auto"/>
              <w:rPr>
                <w:sz w:val="24"/>
                <w:szCs w:val="24"/>
              </w:rPr>
            </w:pPr>
            <w:r>
              <w:rPr>
                <w:rFonts w:hint="eastAsia" w:hAnsi="宋体"/>
                <w:sz w:val="24"/>
                <w:szCs w:val="24"/>
              </w:rPr>
              <w:t>另行</w:t>
            </w:r>
            <w:r>
              <w:rPr>
                <w:rFonts w:hAnsi="宋体"/>
                <w:sz w:val="24"/>
                <w:szCs w:val="24"/>
              </w:rPr>
              <w:t>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10</w:t>
            </w:r>
          </w:p>
        </w:tc>
        <w:tc>
          <w:tcPr>
            <w:tcW w:w="1893" w:type="dxa"/>
            <w:vAlign w:val="center"/>
          </w:tcPr>
          <w:p>
            <w:pPr>
              <w:snapToGrid w:val="0"/>
              <w:jc w:val="center"/>
              <w:rPr>
                <w:sz w:val="24"/>
                <w:szCs w:val="24"/>
              </w:rPr>
            </w:pPr>
            <w:r>
              <w:rPr>
                <w:rFonts w:hAnsi="宋体"/>
                <w:sz w:val="24"/>
                <w:szCs w:val="24"/>
              </w:rPr>
              <w:t>上述时间</w:t>
            </w:r>
          </w:p>
        </w:tc>
        <w:tc>
          <w:tcPr>
            <w:tcW w:w="6056" w:type="dxa"/>
            <w:vAlign w:val="center"/>
          </w:tcPr>
          <w:p>
            <w:pPr>
              <w:snapToGrid w:val="0"/>
              <w:spacing w:line="360" w:lineRule="auto"/>
              <w:rPr>
                <w:sz w:val="24"/>
                <w:szCs w:val="24"/>
              </w:rPr>
            </w:pPr>
            <w:r>
              <w:rPr>
                <w:rFonts w:hAnsi="宋体"/>
                <w:sz w:val="24"/>
                <w:szCs w:val="24"/>
              </w:rPr>
              <w:t>皆为北京时间。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11</w:t>
            </w:r>
          </w:p>
        </w:tc>
        <w:tc>
          <w:tcPr>
            <w:tcW w:w="1893" w:type="dxa"/>
            <w:vAlign w:val="center"/>
          </w:tcPr>
          <w:p>
            <w:pPr>
              <w:snapToGrid w:val="0"/>
              <w:jc w:val="center"/>
              <w:rPr>
                <w:sz w:val="24"/>
                <w:szCs w:val="24"/>
              </w:rPr>
            </w:pPr>
            <w:r>
              <w:rPr>
                <w:rFonts w:hint="eastAsia"/>
                <w:sz w:val="24"/>
                <w:szCs w:val="24"/>
              </w:rPr>
              <w:t>其他</w:t>
            </w:r>
          </w:p>
        </w:tc>
        <w:tc>
          <w:tcPr>
            <w:tcW w:w="6056" w:type="dxa"/>
            <w:vAlign w:val="center"/>
          </w:tcPr>
          <w:p>
            <w:pPr>
              <w:snapToGrid w:val="0"/>
              <w:spacing w:line="360" w:lineRule="auto"/>
              <w:rPr>
                <w:rFonts w:hAnsi="宋体"/>
                <w:sz w:val="24"/>
                <w:szCs w:val="24"/>
              </w:rPr>
            </w:pPr>
            <w:r>
              <w:rPr>
                <w:rFonts w:hAnsi="宋体"/>
                <w:sz w:val="24"/>
                <w:szCs w:val="24"/>
              </w:rPr>
              <w:t>上述时间或地点如有变动，以招标人或经纪公司的通知为准。</w:t>
            </w:r>
          </w:p>
        </w:tc>
      </w:tr>
    </w:tbl>
    <w:p>
      <w:pPr>
        <w:pStyle w:val="6"/>
        <w:snapToGrid w:val="0"/>
        <w:spacing w:before="120" w:after="120" w:line="360" w:lineRule="auto"/>
        <w:jc w:val="center"/>
        <w:rPr>
          <w:sz w:val="28"/>
          <w:szCs w:val="28"/>
        </w:rPr>
      </w:pPr>
      <w:r>
        <w:rPr>
          <w:b w:val="0"/>
          <w:bCs w:val="0"/>
          <w:sz w:val="28"/>
        </w:rPr>
        <w:br w:type="page"/>
      </w:r>
      <w:bookmarkStart w:id="63" w:name="_Toc7011"/>
      <w:bookmarkStart w:id="64" w:name="_Toc6508"/>
      <w:bookmarkStart w:id="65" w:name="_Toc2396"/>
      <w:bookmarkStart w:id="66" w:name="_Toc16815"/>
      <w:bookmarkStart w:id="67" w:name="_Toc27749"/>
      <w:bookmarkStart w:id="68" w:name="_Toc640"/>
      <w:bookmarkStart w:id="69" w:name="_Toc28519"/>
      <w:bookmarkStart w:id="70" w:name="_Toc28303"/>
      <w:bookmarkStart w:id="71" w:name="_Toc17939"/>
      <w:bookmarkStart w:id="72" w:name="_Toc15628"/>
      <w:bookmarkStart w:id="73" w:name="_Toc12672"/>
      <w:bookmarkStart w:id="74" w:name="_Toc31973"/>
      <w:bookmarkStart w:id="75" w:name="_Toc3338"/>
      <w:bookmarkStart w:id="76" w:name="_Toc6840"/>
      <w:bookmarkStart w:id="77" w:name="_Toc5857"/>
      <w:bookmarkStart w:id="78" w:name="_Toc14228"/>
      <w:bookmarkStart w:id="79" w:name="_Toc12804"/>
      <w:bookmarkStart w:id="80" w:name="_Toc2813"/>
      <w:bookmarkStart w:id="81" w:name="_Toc30019"/>
      <w:bookmarkStart w:id="82" w:name="_Toc9398"/>
      <w:bookmarkStart w:id="83" w:name="_Toc8906"/>
      <w:r>
        <w:rPr>
          <w:sz w:val="28"/>
          <w:szCs w:val="28"/>
        </w:rPr>
        <w:t>一、总  则</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napToGrid w:val="0"/>
        <w:spacing w:line="360" w:lineRule="auto"/>
        <w:ind w:firstLine="480" w:firstLineChars="200"/>
        <w:rPr>
          <w:sz w:val="24"/>
        </w:rPr>
      </w:pPr>
      <w:r>
        <w:rPr>
          <w:rFonts w:hAnsi="宋体"/>
          <w:sz w:val="24"/>
        </w:rPr>
        <w:t>（一）招标人</w:t>
      </w:r>
    </w:p>
    <w:p>
      <w:pPr>
        <w:snapToGrid w:val="0"/>
        <w:spacing w:line="360" w:lineRule="auto"/>
        <w:ind w:firstLine="604" w:firstLineChars="252"/>
        <w:rPr>
          <w:sz w:val="24"/>
        </w:rPr>
      </w:pPr>
      <w:r>
        <w:rPr>
          <w:rFonts w:hAnsi="宋体"/>
          <w:sz w:val="24"/>
        </w:rPr>
        <w:t>名称：</w:t>
      </w:r>
      <w:r>
        <w:rPr>
          <w:rFonts w:hint="eastAsia" w:hAnsi="宋体"/>
          <w:sz w:val="24"/>
        </w:rPr>
        <w:t>江苏大生集团有限公司</w:t>
      </w:r>
    </w:p>
    <w:p>
      <w:pPr>
        <w:snapToGrid w:val="0"/>
        <w:spacing w:line="360" w:lineRule="auto"/>
        <w:ind w:firstLine="720" w:firstLineChars="300"/>
        <w:rPr>
          <w:sz w:val="24"/>
        </w:rPr>
      </w:pPr>
      <w:r>
        <w:rPr>
          <w:rFonts w:hAnsi="宋体"/>
          <w:sz w:val="24"/>
        </w:rPr>
        <w:t>地址：</w:t>
      </w:r>
      <w:r>
        <w:rPr>
          <w:rFonts w:hint="eastAsia" w:hAnsi="宋体"/>
          <w:sz w:val="24"/>
        </w:rPr>
        <w:t>江苏省南通市</w:t>
      </w:r>
      <w:r>
        <w:rPr>
          <w:rFonts w:hint="eastAsia" w:hAnsi="宋体"/>
          <w:sz w:val="24"/>
          <w:lang w:val="en-US" w:eastAsia="zh-CN"/>
        </w:rPr>
        <w:t>港闸经济开发区大生路1</w:t>
      </w:r>
      <w:r>
        <w:rPr>
          <w:rFonts w:hint="eastAsia" w:hAnsi="宋体"/>
          <w:sz w:val="24"/>
        </w:rPr>
        <w:t>号</w:t>
      </w:r>
    </w:p>
    <w:p>
      <w:pPr>
        <w:snapToGrid w:val="0"/>
        <w:spacing w:line="360" w:lineRule="auto"/>
        <w:ind w:firstLine="480" w:firstLineChars="200"/>
        <w:rPr>
          <w:rFonts w:hAnsi="宋体"/>
          <w:sz w:val="24"/>
        </w:rPr>
      </w:pPr>
    </w:p>
    <w:p>
      <w:pPr>
        <w:snapToGrid w:val="0"/>
        <w:spacing w:line="360" w:lineRule="auto"/>
        <w:ind w:firstLine="480" w:firstLineChars="200"/>
        <w:rPr>
          <w:sz w:val="24"/>
        </w:rPr>
      </w:pPr>
      <w:r>
        <w:rPr>
          <w:rFonts w:hAnsi="宋体"/>
          <w:sz w:val="24"/>
        </w:rPr>
        <w:t>（二）经纪公司</w:t>
      </w:r>
    </w:p>
    <w:p>
      <w:pPr>
        <w:snapToGrid w:val="0"/>
        <w:spacing w:line="360" w:lineRule="auto"/>
        <w:ind w:firstLine="602" w:firstLineChars="251"/>
        <w:rPr>
          <w:sz w:val="24"/>
        </w:rPr>
      </w:pPr>
      <w:r>
        <w:rPr>
          <w:rFonts w:hint="eastAsia" w:hAnsi="宋体"/>
          <w:sz w:val="24"/>
        </w:rPr>
        <w:t>保险经纪人：</w:t>
      </w:r>
      <w:r>
        <w:rPr>
          <w:rFonts w:hAnsi="宋体"/>
          <w:sz w:val="24"/>
        </w:rPr>
        <w:t>江泰保险经纪股份有限公司</w:t>
      </w:r>
      <w:r>
        <w:rPr>
          <w:rFonts w:hint="eastAsia" w:hAnsi="宋体"/>
          <w:sz w:val="24"/>
        </w:rPr>
        <w:t>南通分公司</w:t>
      </w:r>
    </w:p>
    <w:p>
      <w:pPr>
        <w:snapToGrid w:val="0"/>
        <w:spacing w:line="360" w:lineRule="auto"/>
        <w:ind w:firstLine="600" w:firstLineChars="250"/>
        <w:rPr>
          <w:rFonts w:hAnsi="宋体"/>
          <w:sz w:val="24"/>
        </w:rPr>
      </w:pPr>
      <w:r>
        <w:rPr>
          <w:rFonts w:hint="eastAsia" w:hAnsi="宋体"/>
          <w:sz w:val="24"/>
        </w:rPr>
        <w:t>地址：江苏省南通市崇川区中南世纪城20幢406</w:t>
      </w:r>
    </w:p>
    <w:p>
      <w:pPr>
        <w:snapToGrid w:val="0"/>
        <w:spacing w:line="360" w:lineRule="auto"/>
        <w:ind w:firstLine="362" w:firstLineChars="151"/>
        <w:rPr>
          <w:sz w:val="24"/>
        </w:rPr>
      </w:pPr>
    </w:p>
    <w:p>
      <w:pPr>
        <w:snapToGrid w:val="0"/>
        <w:spacing w:line="360" w:lineRule="auto"/>
        <w:ind w:firstLine="480" w:firstLineChars="200"/>
        <w:rPr>
          <w:sz w:val="24"/>
        </w:rPr>
      </w:pPr>
      <w:r>
        <w:rPr>
          <w:rFonts w:hAnsi="宋体"/>
          <w:sz w:val="24"/>
        </w:rPr>
        <w:t>（三）招标文件</w:t>
      </w:r>
    </w:p>
    <w:p>
      <w:pPr>
        <w:snapToGrid w:val="0"/>
        <w:spacing w:line="360" w:lineRule="auto"/>
        <w:ind w:firstLine="480" w:firstLineChars="200"/>
        <w:rPr>
          <w:sz w:val="24"/>
        </w:rPr>
      </w:pPr>
      <w:r>
        <w:rPr>
          <w:sz w:val="24"/>
        </w:rPr>
        <w:t>1</w:t>
      </w:r>
      <w:r>
        <w:rPr>
          <w:rFonts w:hAnsi="宋体"/>
          <w:sz w:val="24"/>
        </w:rPr>
        <w:t>、招标文件主要包括：</w:t>
      </w:r>
      <w:r>
        <w:rPr>
          <w:rFonts w:hint="eastAsia" w:hAnsi="宋体"/>
          <w:sz w:val="24"/>
        </w:rPr>
        <w:t>招标公告、</w:t>
      </w:r>
      <w:r>
        <w:rPr>
          <w:rFonts w:hAnsi="宋体"/>
          <w:sz w:val="24"/>
        </w:rPr>
        <w:t>投标须知及前附表、保险合同条款、投标文件</w:t>
      </w:r>
      <w:r>
        <w:rPr>
          <w:rFonts w:hint="eastAsia" w:hAnsi="宋体"/>
          <w:sz w:val="24"/>
        </w:rPr>
        <w:t>编制</w:t>
      </w:r>
      <w:r>
        <w:rPr>
          <w:rFonts w:hAnsi="宋体"/>
          <w:sz w:val="24"/>
        </w:rPr>
        <w:t>格式、项目概况等内容；</w:t>
      </w:r>
      <w:r>
        <w:rPr>
          <w:sz w:val="24"/>
        </w:rPr>
        <w:t xml:space="preserve"> </w:t>
      </w:r>
    </w:p>
    <w:p>
      <w:pPr>
        <w:snapToGrid w:val="0"/>
        <w:spacing w:line="360" w:lineRule="auto"/>
        <w:ind w:firstLine="480" w:firstLineChars="200"/>
        <w:rPr>
          <w:sz w:val="24"/>
        </w:rPr>
      </w:pPr>
      <w:r>
        <w:rPr>
          <w:sz w:val="24"/>
        </w:rPr>
        <w:t>2</w:t>
      </w:r>
      <w:r>
        <w:rPr>
          <w:rFonts w:hAnsi="宋体"/>
          <w:sz w:val="24"/>
        </w:rPr>
        <w:t>、招标人在招标期间发出的补遗书、补充通知及其他正式有效函件，均作为招标文件的有效组成部分。</w:t>
      </w:r>
    </w:p>
    <w:p>
      <w:pPr>
        <w:snapToGrid w:val="0"/>
        <w:spacing w:line="360" w:lineRule="auto"/>
        <w:rPr>
          <w:sz w:val="24"/>
        </w:rPr>
      </w:pPr>
    </w:p>
    <w:p>
      <w:pPr>
        <w:snapToGrid w:val="0"/>
        <w:spacing w:line="360" w:lineRule="auto"/>
        <w:ind w:firstLine="480" w:firstLineChars="200"/>
        <w:rPr>
          <w:sz w:val="24"/>
        </w:rPr>
      </w:pPr>
      <w:r>
        <w:rPr>
          <w:rFonts w:hAnsi="宋体"/>
          <w:sz w:val="24"/>
        </w:rPr>
        <w:t>（四）投标</w:t>
      </w:r>
      <w:r>
        <w:rPr>
          <w:rFonts w:hint="eastAsia" w:hAnsi="宋体"/>
          <w:sz w:val="24"/>
        </w:rPr>
        <w:t>人</w:t>
      </w:r>
    </w:p>
    <w:p>
      <w:pPr>
        <w:snapToGrid w:val="0"/>
        <w:spacing w:line="360" w:lineRule="auto"/>
        <w:ind w:firstLine="480" w:firstLineChars="200"/>
        <w:rPr>
          <w:kern w:val="0"/>
          <w:sz w:val="24"/>
        </w:rPr>
      </w:pPr>
      <w:r>
        <w:rPr>
          <w:rFonts w:hAnsi="宋体"/>
          <w:kern w:val="0"/>
          <w:sz w:val="24"/>
        </w:rPr>
        <w:t>投标人必须是拥有</w:t>
      </w:r>
      <w:r>
        <w:rPr>
          <w:rFonts w:hint="eastAsia" w:hAnsi="宋体"/>
          <w:kern w:val="0"/>
          <w:sz w:val="24"/>
        </w:rPr>
        <w:t>中国银行保险监督管理委员会</w:t>
      </w:r>
      <w:r>
        <w:rPr>
          <w:rFonts w:hAnsi="宋体"/>
          <w:kern w:val="0"/>
          <w:sz w:val="24"/>
        </w:rPr>
        <w:t>批准开展财产保险业务资格的保险公司。</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（五）投标文件</w:t>
      </w:r>
    </w:p>
    <w:p>
      <w:pPr>
        <w:snapToGrid w:val="0"/>
        <w:spacing w:line="360" w:lineRule="auto"/>
        <w:ind w:firstLine="480" w:firstLineChars="200"/>
        <w:rPr>
          <w:sz w:val="24"/>
        </w:rPr>
      </w:pPr>
      <w:r>
        <w:rPr>
          <w:rFonts w:hAnsi="宋体"/>
          <w:sz w:val="24"/>
        </w:rPr>
        <w:t>投标文件指投标书。</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（六）中标</w:t>
      </w:r>
      <w:r>
        <w:rPr>
          <w:rFonts w:hint="eastAsia" w:hAnsi="宋体"/>
          <w:sz w:val="24"/>
        </w:rPr>
        <w:t>人</w:t>
      </w:r>
    </w:p>
    <w:p>
      <w:pPr>
        <w:snapToGrid w:val="0"/>
        <w:spacing w:line="360" w:lineRule="auto"/>
        <w:ind w:firstLine="480" w:firstLineChars="200"/>
        <w:rPr>
          <w:sz w:val="24"/>
        </w:rPr>
      </w:pPr>
      <w:r>
        <w:rPr>
          <w:rFonts w:hAnsi="宋体"/>
          <w:sz w:val="24"/>
        </w:rPr>
        <w:t>最终被授予保险合同的投标</w:t>
      </w:r>
      <w:r>
        <w:rPr>
          <w:rFonts w:hint="eastAsia" w:hAnsi="宋体"/>
          <w:sz w:val="24"/>
        </w:rPr>
        <w:t>人</w:t>
      </w:r>
      <w:r>
        <w:rPr>
          <w:rFonts w:hAnsi="宋体"/>
          <w:sz w:val="24"/>
        </w:rPr>
        <w:t>为中标</w:t>
      </w:r>
      <w:r>
        <w:rPr>
          <w:rFonts w:hint="eastAsia" w:hAnsi="宋体"/>
          <w:sz w:val="24"/>
        </w:rPr>
        <w:t>人</w:t>
      </w:r>
      <w:r>
        <w:rPr>
          <w:rFonts w:hAnsi="宋体"/>
          <w:sz w:val="24"/>
        </w:rPr>
        <w:t>。</w:t>
      </w:r>
    </w:p>
    <w:p>
      <w:pPr>
        <w:snapToGrid w:val="0"/>
        <w:spacing w:line="360" w:lineRule="auto"/>
        <w:ind w:firstLine="480" w:firstLineChars="200"/>
        <w:rPr>
          <w:sz w:val="24"/>
        </w:rPr>
      </w:pPr>
    </w:p>
    <w:p>
      <w:pPr>
        <w:tabs>
          <w:tab w:val="left" w:pos="-3420"/>
        </w:tabs>
        <w:snapToGrid w:val="0"/>
        <w:spacing w:line="360" w:lineRule="auto"/>
        <w:ind w:firstLine="480" w:firstLineChars="200"/>
        <w:rPr>
          <w:b/>
          <w:snapToGrid w:val="0"/>
          <w:kern w:val="0"/>
          <w:sz w:val="24"/>
        </w:rPr>
      </w:pPr>
      <w:r>
        <w:rPr>
          <w:rFonts w:hAnsi="宋体"/>
          <w:sz w:val="24"/>
        </w:rPr>
        <w:t>（七）保密责任</w:t>
      </w:r>
    </w:p>
    <w:p>
      <w:pPr>
        <w:snapToGrid w:val="0"/>
        <w:spacing w:line="360" w:lineRule="auto"/>
        <w:ind w:firstLine="480" w:firstLineChars="200"/>
        <w:rPr>
          <w:sz w:val="24"/>
        </w:rPr>
      </w:pPr>
      <w:r>
        <w:rPr>
          <w:rFonts w:hAnsi="宋体"/>
          <w:sz w:val="24"/>
        </w:rPr>
        <w:t>投标</w:t>
      </w:r>
      <w:r>
        <w:rPr>
          <w:rFonts w:hint="eastAsia" w:hAnsi="宋体"/>
          <w:sz w:val="24"/>
        </w:rPr>
        <w:t>人</w:t>
      </w:r>
      <w:r>
        <w:rPr>
          <w:rFonts w:hAnsi="宋体"/>
          <w:sz w:val="24"/>
        </w:rPr>
        <w:t>对招标文件和资料必须承担保密责任。未经招标</w:t>
      </w:r>
      <w:r>
        <w:rPr>
          <w:rFonts w:hint="eastAsia" w:hAnsi="宋体"/>
          <w:sz w:val="24"/>
        </w:rPr>
        <w:t>人</w:t>
      </w:r>
      <w:r>
        <w:rPr>
          <w:rFonts w:hAnsi="宋体"/>
          <w:sz w:val="24"/>
        </w:rPr>
        <w:t>的书面同意，不得向任何第三方以任何方式泄漏。如有违反，将承担一切法律责任和后果。</w:t>
      </w:r>
    </w:p>
    <w:p>
      <w:pPr>
        <w:snapToGrid w:val="0"/>
        <w:spacing w:line="360" w:lineRule="auto"/>
        <w:rPr>
          <w:sz w:val="24"/>
        </w:rPr>
      </w:pPr>
    </w:p>
    <w:p>
      <w:pPr>
        <w:pStyle w:val="6"/>
        <w:snapToGrid w:val="0"/>
        <w:spacing w:before="120" w:after="120" w:line="360" w:lineRule="auto"/>
        <w:jc w:val="center"/>
        <w:rPr>
          <w:sz w:val="28"/>
          <w:szCs w:val="28"/>
        </w:rPr>
      </w:pPr>
      <w:bookmarkStart w:id="84" w:name="_Toc13762"/>
      <w:bookmarkStart w:id="85" w:name="_Toc26375"/>
      <w:bookmarkStart w:id="86" w:name="_Toc4668"/>
      <w:bookmarkStart w:id="87" w:name="_Toc15457"/>
      <w:bookmarkStart w:id="88" w:name="_Toc21990"/>
      <w:bookmarkStart w:id="89" w:name="_Toc28089"/>
      <w:bookmarkStart w:id="90" w:name="_Toc14613"/>
      <w:bookmarkStart w:id="91" w:name="_Toc5236"/>
      <w:bookmarkStart w:id="92" w:name="_Toc12424"/>
      <w:bookmarkStart w:id="93" w:name="_Toc18450"/>
      <w:bookmarkStart w:id="94" w:name="_Toc12737"/>
      <w:bookmarkStart w:id="95" w:name="_Toc28337"/>
      <w:bookmarkStart w:id="96" w:name="_Toc949"/>
      <w:bookmarkStart w:id="97" w:name="_Toc22120"/>
      <w:bookmarkStart w:id="98" w:name="_Toc25393"/>
      <w:bookmarkStart w:id="99" w:name="_Toc32038"/>
      <w:bookmarkStart w:id="100" w:name="_Toc14017"/>
      <w:bookmarkStart w:id="101" w:name="_Toc10545"/>
      <w:bookmarkStart w:id="102" w:name="_Toc11937"/>
      <w:bookmarkStart w:id="103" w:name="_Toc26419"/>
      <w:bookmarkStart w:id="104" w:name="_Toc17117"/>
      <w:r>
        <w:rPr>
          <w:sz w:val="28"/>
          <w:szCs w:val="28"/>
        </w:rPr>
        <w:t>二、招  标</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napToGrid w:val="0"/>
        <w:spacing w:line="360" w:lineRule="auto"/>
        <w:ind w:firstLine="480" w:firstLineChars="200"/>
        <w:rPr>
          <w:sz w:val="24"/>
        </w:rPr>
      </w:pPr>
      <w:r>
        <w:rPr>
          <w:rFonts w:hAnsi="宋体"/>
          <w:sz w:val="24"/>
        </w:rPr>
        <w:t>（八）招标</w:t>
      </w:r>
      <w:r>
        <w:rPr>
          <w:rFonts w:hint="eastAsia" w:hAnsi="宋体"/>
          <w:sz w:val="24"/>
        </w:rPr>
        <w:t>方</w:t>
      </w:r>
      <w:r>
        <w:rPr>
          <w:rFonts w:hAnsi="宋体"/>
          <w:sz w:val="24"/>
        </w:rPr>
        <w:t>式</w:t>
      </w:r>
      <w:r>
        <w:rPr>
          <w:rFonts w:hint="eastAsia" w:hAnsi="宋体"/>
          <w:sz w:val="24"/>
        </w:rPr>
        <w:t>及范围</w:t>
      </w:r>
    </w:p>
    <w:p>
      <w:pPr>
        <w:snapToGrid w:val="0"/>
        <w:spacing w:line="360" w:lineRule="auto"/>
        <w:ind w:firstLine="480" w:firstLineChars="200"/>
        <w:rPr>
          <w:rFonts w:hAnsi="宋体"/>
          <w:sz w:val="24"/>
        </w:rPr>
      </w:pPr>
      <w:r>
        <w:rPr>
          <w:rFonts w:hAnsi="宋体"/>
          <w:sz w:val="24"/>
        </w:rPr>
        <w:t>本次招标为</w:t>
      </w:r>
      <w:r>
        <w:rPr>
          <w:rFonts w:hint="eastAsia" w:hAnsi="宋体"/>
          <w:sz w:val="24"/>
        </w:rPr>
        <w:t>“公开</w:t>
      </w:r>
      <w:r>
        <w:rPr>
          <w:rFonts w:hAnsi="宋体"/>
          <w:sz w:val="24"/>
        </w:rPr>
        <w:t>招标</w:t>
      </w:r>
      <w:r>
        <w:rPr>
          <w:rFonts w:hint="eastAsia" w:hAnsi="宋体"/>
          <w:sz w:val="24"/>
        </w:rPr>
        <w:t>”</w:t>
      </w:r>
      <w:r>
        <w:rPr>
          <w:rFonts w:hAnsi="宋体"/>
          <w:sz w:val="24"/>
        </w:rPr>
        <w:t>方式。</w:t>
      </w:r>
    </w:p>
    <w:p>
      <w:pPr>
        <w:snapToGrid w:val="0"/>
        <w:spacing w:line="360" w:lineRule="auto"/>
        <w:ind w:firstLine="480" w:firstLineChars="200"/>
        <w:rPr>
          <w:sz w:val="24"/>
        </w:rPr>
      </w:pPr>
      <w:r>
        <w:rPr>
          <w:rFonts w:hint="eastAsia" w:hAnsi="宋体"/>
          <w:sz w:val="24"/>
        </w:rPr>
        <w:t>招标范围：江苏大生集团有限公司</w:t>
      </w:r>
      <w:r>
        <w:rPr>
          <w:rFonts w:hint="eastAsia" w:hAnsi="宋体"/>
          <w:sz w:val="24"/>
          <w:lang w:val="en-US" w:eastAsia="zh-CN"/>
        </w:rPr>
        <w:t>部分子公司（合肥、滨州、聊城）</w:t>
      </w:r>
      <w:r>
        <w:rPr>
          <w:rFonts w:hint="eastAsia" w:hAnsi="宋体"/>
          <w:sz w:val="24"/>
        </w:rPr>
        <w:t>财产保险项目相关的财产综合险、机器损坏险。</w:t>
      </w:r>
    </w:p>
    <w:p>
      <w:pPr>
        <w:snapToGrid w:val="0"/>
        <w:spacing w:line="360" w:lineRule="auto"/>
        <w:ind w:firstLine="364" w:firstLineChars="152"/>
        <w:rPr>
          <w:sz w:val="24"/>
        </w:rPr>
      </w:pPr>
    </w:p>
    <w:p>
      <w:pPr>
        <w:snapToGrid w:val="0"/>
        <w:spacing w:line="360" w:lineRule="auto"/>
        <w:ind w:firstLine="480" w:firstLineChars="200"/>
        <w:rPr>
          <w:sz w:val="24"/>
        </w:rPr>
      </w:pPr>
      <w:r>
        <w:rPr>
          <w:rFonts w:hAnsi="宋体"/>
          <w:sz w:val="24"/>
        </w:rPr>
        <w:t>（九）</w:t>
      </w:r>
      <w:r>
        <w:rPr>
          <w:rFonts w:hint="eastAsia" w:hAnsi="宋体"/>
          <w:sz w:val="24"/>
        </w:rPr>
        <w:t>标前说明会</w:t>
      </w:r>
    </w:p>
    <w:p>
      <w:pPr>
        <w:snapToGrid w:val="0"/>
        <w:spacing w:line="360" w:lineRule="auto"/>
        <w:ind w:firstLine="480" w:firstLineChars="200"/>
        <w:rPr>
          <w:sz w:val="24"/>
        </w:rPr>
      </w:pPr>
      <w:r>
        <w:rPr>
          <w:rFonts w:hint="eastAsia"/>
          <w:sz w:val="24"/>
        </w:rPr>
        <w:t>招标人将</w:t>
      </w:r>
      <w:r>
        <w:rPr>
          <w:rFonts w:hint="eastAsia" w:hAnsi="宋体"/>
          <w:sz w:val="24"/>
        </w:rPr>
        <w:t>不</w:t>
      </w:r>
      <w:r>
        <w:rPr>
          <w:rFonts w:hint="eastAsia"/>
          <w:sz w:val="24"/>
        </w:rPr>
        <w:t>组织标前说明会。</w:t>
      </w:r>
    </w:p>
    <w:p>
      <w:pPr>
        <w:snapToGrid w:val="0"/>
        <w:spacing w:line="360" w:lineRule="auto"/>
        <w:rPr>
          <w:sz w:val="24"/>
        </w:rPr>
      </w:pPr>
    </w:p>
    <w:p>
      <w:pPr>
        <w:snapToGrid w:val="0"/>
        <w:spacing w:line="360" w:lineRule="auto"/>
        <w:ind w:firstLine="480" w:firstLineChars="200"/>
        <w:rPr>
          <w:sz w:val="24"/>
        </w:rPr>
      </w:pPr>
      <w:r>
        <w:rPr>
          <w:rFonts w:hAnsi="宋体"/>
          <w:sz w:val="24"/>
        </w:rPr>
        <w:t>（十）招标原则</w:t>
      </w:r>
    </w:p>
    <w:p>
      <w:pPr>
        <w:snapToGrid w:val="0"/>
        <w:spacing w:line="360" w:lineRule="auto"/>
        <w:ind w:firstLine="480" w:firstLineChars="200"/>
        <w:rPr>
          <w:sz w:val="24"/>
        </w:rPr>
      </w:pPr>
      <w:r>
        <w:rPr>
          <w:rFonts w:hAnsi="宋体"/>
          <w:sz w:val="24"/>
        </w:rPr>
        <w:t>招标人按照公平、公正和诚实信用的原则对投标</w:t>
      </w:r>
      <w:r>
        <w:rPr>
          <w:rFonts w:hint="eastAsia" w:hAnsi="宋体"/>
          <w:sz w:val="24"/>
        </w:rPr>
        <w:t>人</w:t>
      </w:r>
      <w:r>
        <w:rPr>
          <w:rFonts w:hAnsi="宋体"/>
          <w:sz w:val="24"/>
        </w:rPr>
        <w:t>的投标进行综合评价，择优选取中标</w:t>
      </w:r>
      <w:r>
        <w:rPr>
          <w:rFonts w:hint="eastAsia" w:hAnsi="宋体"/>
          <w:sz w:val="24"/>
        </w:rPr>
        <w:t>人</w:t>
      </w:r>
      <w:r>
        <w:rPr>
          <w:rFonts w:hAnsi="宋体"/>
          <w:sz w:val="24"/>
        </w:rPr>
        <w:t>。</w:t>
      </w:r>
    </w:p>
    <w:p>
      <w:pPr>
        <w:snapToGrid w:val="0"/>
        <w:spacing w:line="360" w:lineRule="auto"/>
        <w:ind w:firstLine="484" w:firstLineChars="202"/>
        <w:rPr>
          <w:sz w:val="24"/>
        </w:rPr>
      </w:pPr>
    </w:p>
    <w:p>
      <w:pPr>
        <w:snapToGrid w:val="0"/>
        <w:spacing w:line="360" w:lineRule="auto"/>
        <w:ind w:firstLine="480" w:firstLineChars="200"/>
        <w:rPr>
          <w:sz w:val="24"/>
        </w:rPr>
      </w:pPr>
      <w:r>
        <w:rPr>
          <w:rFonts w:hAnsi="宋体"/>
          <w:sz w:val="24"/>
        </w:rPr>
        <w:t>（十一）招标文件的解答</w:t>
      </w:r>
    </w:p>
    <w:p>
      <w:pPr>
        <w:snapToGrid w:val="0"/>
        <w:spacing w:line="360" w:lineRule="auto"/>
        <w:ind w:firstLine="480" w:firstLineChars="200"/>
        <w:rPr>
          <w:sz w:val="24"/>
        </w:rPr>
      </w:pPr>
      <w:r>
        <w:rPr>
          <w:rFonts w:hAnsi="宋体"/>
          <w:sz w:val="24"/>
        </w:rPr>
        <w:t>要求对招标文件进行解答的投标人，应在前附表规定的时间内（逾期提出的问题将不予以回答），将要求解答的问题以书面形式（包括：信函、传真</w:t>
      </w:r>
      <w:r>
        <w:rPr>
          <w:sz w:val="24"/>
        </w:rPr>
        <w:t>)</w:t>
      </w:r>
      <w:r>
        <w:rPr>
          <w:rFonts w:hAnsi="宋体"/>
          <w:sz w:val="24"/>
        </w:rPr>
        <w:t>送达江泰保险经纪</w:t>
      </w:r>
      <w:r>
        <w:rPr>
          <w:rFonts w:hint="eastAsia" w:hAnsi="宋体"/>
          <w:sz w:val="24"/>
        </w:rPr>
        <w:t>股份</w:t>
      </w:r>
      <w:r>
        <w:rPr>
          <w:rFonts w:hAnsi="宋体"/>
          <w:sz w:val="24"/>
        </w:rPr>
        <w:t>有限公司</w:t>
      </w:r>
      <w:r>
        <w:rPr>
          <w:rFonts w:hint="eastAsia" w:hAnsi="宋体"/>
          <w:sz w:val="24"/>
        </w:rPr>
        <w:t>南通分公司</w:t>
      </w:r>
      <w:r>
        <w:rPr>
          <w:rFonts w:hAnsi="宋体"/>
          <w:sz w:val="24"/>
        </w:rPr>
        <w:t>。招标人将在前附表规定的时间内将要求解答的问题以书面的形式（包括：信函、传真）送达投标人。投标人应在收到书面答复后的</w:t>
      </w:r>
      <w:r>
        <w:rPr>
          <w:sz w:val="24"/>
        </w:rPr>
        <w:t>24</w:t>
      </w:r>
      <w:r>
        <w:rPr>
          <w:rFonts w:hAnsi="宋体"/>
          <w:sz w:val="24"/>
        </w:rPr>
        <w:t>小时内以书面形式（包括信函、传真）向招标人确认收到招标文件澄清书面答复。</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（十二）招标文件的补充和修改</w:t>
      </w:r>
    </w:p>
    <w:p>
      <w:pPr>
        <w:snapToGrid w:val="0"/>
        <w:spacing w:line="360" w:lineRule="auto"/>
        <w:ind w:firstLine="480" w:firstLineChars="200"/>
        <w:rPr>
          <w:sz w:val="24"/>
        </w:rPr>
      </w:pPr>
      <w:r>
        <w:rPr>
          <w:sz w:val="24"/>
        </w:rPr>
        <w:t>1</w:t>
      </w:r>
      <w:r>
        <w:rPr>
          <w:rFonts w:hAnsi="宋体"/>
          <w:sz w:val="24"/>
        </w:rPr>
        <w:t>、至投标截止时间</w:t>
      </w:r>
      <w:r>
        <w:rPr>
          <w:rFonts w:hint="eastAsia"/>
          <w:sz w:val="24"/>
        </w:rPr>
        <w:t>2</w:t>
      </w:r>
      <w:r>
        <w:rPr>
          <w:rFonts w:hAnsi="宋体"/>
          <w:sz w:val="24"/>
        </w:rPr>
        <w:t>个工作日前，招标人具有以补遗书的方式修改招标文件的权利；</w:t>
      </w:r>
    </w:p>
    <w:p>
      <w:pPr>
        <w:snapToGrid w:val="0"/>
        <w:spacing w:line="360" w:lineRule="auto"/>
        <w:ind w:firstLine="480" w:firstLineChars="200"/>
        <w:rPr>
          <w:sz w:val="24"/>
        </w:rPr>
      </w:pPr>
      <w:r>
        <w:rPr>
          <w:sz w:val="24"/>
        </w:rPr>
        <w:t>2</w:t>
      </w:r>
      <w:r>
        <w:rPr>
          <w:rFonts w:hAnsi="宋体"/>
          <w:sz w:val="24"/>
        </w:rPr>
        <w:t>、上述补遗书以书面形式发给所有获得招标文件的投标人。投标人收到补遗书后，应立即以书面方式通知招标人，确认已收到补遗书。</w:t>
      </w:r>
    </w:p>
    <w:p>
      <w:pPr>
        <w:snapToGrid w:val="0"/>
        <w:spacing w:line="360" w:lineRule="auto"/>
        <w:ind w:left="17" w:leftChars="8" w:firstLine="480" w:firstLineChars="200"/>
        <w:rPr>
          <w:sz w:val="24"/>
        </w:rPr>
      </w:pPr>
      <w:r>
        <w:rPr>
          <w:sz w:val="24"/>
        </w:rPr>
        <w:t>3</w:t>
      </w:r>
      <w:r>
        <w:rPr>
          <w:rFonts w:hAnsi="宋体"/>
          <w:sz w:val="24"/>
        </w:rPr>
        <w:t>、招标人就招标文件所做的一切有效的书面通知、修改及补充，都是招标文件不可分割的部分。</w:t>
      </w:r>
    </w:p>
    <w:p>
      <w:pPr>
        <w:snapToGrid w:val="0"/>
        <w:spacing w:line="360" w:lineRule="auto"/>
        <w:rPr>
          <w:sz w:val="24"/>
        </w:rPr>
      </w:pPr>
    </w:p>
    <w:p>
      <w:pPr>
        <w:pStyle w:val="6"/>
        <w:snapToGrid w:val="0"/>
        <w:spacing w:before="120" w:after="120" w:line="360" w:lineRule="auto"/>
        <w:jc w:val="center"/>
        <w:rPr>
          <w:sz w:val="28"/>
          <w:szCs w:val="28"/>
        </w:rPr>
      </w:pPr>
      <w:bookmarkStart w:id="105" w:name="_Toc20441"/>
      <w:bookmarkStart w:id="106" w:name="_Toc11751"/>
      <w:bookmarkStart w:id="107" w:name="_Toc21969"/>
      <w:bookmarkStart w:id="108" w:name="_Toc20142"/>
      <w:bookmarkStart w:id="109" w:name="_Toc27806"/>
      <w:bookmarkStart w:id="110" w:name="_Toc20473"/>
      <w:bookmarkStart w:id="111" w:name="_Toc19739"/>
      <w:bookmarkStart w:id="112" w:name="_Toc23055"/>
      <w:bookmarkStart w:id="113" w:name="_Toc29010"/>
      <w:bookmarkStart w:id="114" w:name="_Toc17758"/>
      <w:bookmarkStart w:id="115" w:name="_Toc24467"/>
      <w:bookmarkStart w:id="116" w:name="_Toc18451"/>
      <w:bookmarkStart w:id="117" w:name="_Toc17038"/>
      <w:bookmarkStart w:id="118" w:name="_Toc28484"/>
      <w:bookmarkStart w:id="119" w:name="_Toc6666"/>
      <w:bookmarkStart w:id="120" w:name="_Toc25829"/>
      <w:bookmarkStart w:id="121" w:name="_Toc14465"/>
      <w:bookmarkStart w:id="122" w:name="_Toc26520"/>
      <w:bookmarkStart w:id="123" w:name="_Toc15635"/>
      <w:bookmarkStart w:id="124" w:name="_Toc20121"/>
      <w:bookmarkStart w:id="125" w:name="_Toc14281"/>
      <w:r>
        <w:rPr>
          <w:sz w:val="28"/>
          <w:szCs w:val="28"/>
        </w:rPr>
        <w:t>三、投  标</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snapToGrid w:val="0"/>
        <w:spacing w:line="360" w:lineRule="auto"/>
        <w:ind w:firstLine="482" w:firstLineChars="200"/>
        <w:rPr>
          <w:b/>
          <w:sz w:val="24"/>
        </w:rPr>
      </w:pPr>
      <w:r>
        <w:rPr>
          <w:rFonts w:hAnsi="宋体"/>
          <w:b/>
          <w:sz w:val="24"/>
        </w:rPr>
        <w:t>（十三）投标人的资质：</w:t>
      </w:r>
    </w:p>
    <w:p>
      <w:pPr>
        <w:snapToGrid w:val="0"/>
        <w:spacing w:line="360" w:lineRule="auto"/>
        <w:ind w:firstLine="480" w:firstLineChars="200"/>
        <w:rPr>
          <w:bCs/>
          <w:sz w:val="24"/>
        </w:rPr>
      </w:pPr>
      <w:r>
        <w:rPr>
          <w:rFonts w:hint="eastAsia"/>
          <w:bCs/>
          <w:sz w:val="24"/>
        </w:rPr>
        <w:t>见投标须知前附表第8项。</w:t>
      </w:r>
    </w:p>
    <w:p>
      <w:pPr>
        <w:snapToGrid w:val="0"/>
        <w:spacing w:line="360" w:lineRule="auto"/>
        <w:rPr>
          <w:sz w:val="24"/>
        </w:rPr>
      </w:pPr>
    </w:p>
    <w:p>
      <w:pPr>
        <w:snapToGrid w:val="0"/>
        <w:spacing w:line="360" w:lineRule="auto"/>
        <w:ind w:firstLine="480" w:firstLineChars="200"/>
        <w:rPr>
          <w:sz w:val="24"/>
        </w:rPr>
      </w:pPr>
      <w:r>
        <w:rPr>
          <w:rFonts w:hAnsi="宋体"/>
          <w:sz w:val="24"/>
        </w:rPr>
        <w:t>（十四）投标报价</w:t>
      </w:r>
    </w:p>
    <w:p>
      <w:pPr>
        <w:snapToGrid w:val="0"/>
        <w:spacing w:line="360" w:lineRule="auto"/>
        <w:ind w:firstLine="480" w:firstLineChars="200"/>
        <w:rPr>
          <w:sz w:val="24"/>
        </w:rPr>
      </w:pPr>
      <w:r>
        <w:rPr>
          <w:sz w:val="24"/>
        </w:rPr>
        <w:t>1</w:t>
      </w:r>
      <w:r>
        <w:rPr>
          <w:rFonts w:hAnsi="宋体"/>
          <w:sz w:val="24"/>
        </w:rPr>
        <w:t>、投标人必须基于本招标文件第</w:t>
      </w:r>
      <w:r>
        <w:rPr>
          <w:rFonts w:hint="eastAsia" w:hAnsi="宋体"/>
          <w:sz w:val="24"/>
        </w:rPr>
        <w:t>三</w:t>
      </w:r>
      <w:r>
        <w:rPr>
          <w:rFonts w:hAnsi="宋体"/>
          <w:sz w:val="24"/>
        </w:rPr>
        <w:t>部分确定的保险方案明细提供投标报价；</w:t>
      </w:r>
    </w:p>
    <w:p>
      <w:pPr>
        <w:snapToGrid w:val="0"/>
        <w:spacing w:line="360" w:lineRule="auto"/>
        <w:ind w:firstLine="480" w:firstLineChars="200"/>
        <w:rPr>
          <w:sz w:val="24"/>
        </w:rPr>
      </w:pPr>
      <w:r>
        <w:rPr>
          <w:sz w:val="24"/>
        </w:rPr>
        <w:t>2</w:t>
      </w:r>
      <w:r>
        <w:rPr>
          <w:rFonts w:hAnsi="宋体"/>
          <w:sz w:val="24"/>
        </w:rPr>
        <w:t>、投标人可根据自己对本项目风险情况的了解，对具体条款在本招标文件第四部分内容的基础上提出差异或优惠条件（提出差异或优惠条件的，必须按投标文件格式提供差异条件汇总表或优惠条件汇总表）</w:t>
      </w:r>
      <w:r>
        <w:rPr>
          <w:rFonts w:hint="eastAsia" w:hAnsi="宋体"/>
          <w:sz w:val="24"/>
        </w:rPr>
        <w:t>，否则视为无差异或优惠</w:t>
      </w:r>
      <w:r>
        <w:rPr>
          <w:rFonts w:hAnsi="宋体"/>
          <w:sz w:val="24"/>
        </w:rPr>
        <w:t>；</w:t>
      </w:r>
    </w:p>
    <w:p>
      <w:pPr>
        <w:snapToGrid w:val="0"/>
        <w:spacing w:line="360" w:lineRule="auto"/>
        <w:ind w:firstLine="480" w:firstLineChars="200"/>
        <w:rPr>
          <w:rFonts w:hAnsi="宋体"/>
          <w:sz w:val="24"/>
        </w:rPr>
      </w:pPr>
      <w:r>
        <w:rPr>
          <w:rFonts w:hAnsi="宋体"/>
          <w:sz w:val="24"/>
        </w:rPr>
        <w:t>3、投标报价有效期为投标截止日期后90个日历日，有效期内，投标人不能</w:t>
      </w:r>
      <w:r>
        <w:rPr>
          <w:rFonts w:hint="eastAsia" w:hAnsi="宋体"/>
          <w:sz w:val="24"/>
        </w:rPr>
        <w:t>单方擅自</w:t>
      </w:r>
      <w:r>
        <w:rPr>
          <w:rFonts w:hAnsi="宋体"/>
          <w:sz w:val="24"/>
        </w:rPr>
        <w:t>对投标文件进行任何修改。若遇特殊情况，招标人可于投标有效期结束之前要求延长投标有效期，但延长期一般不超过30天。投标人须在接到延长投标有效期要求后的24小时之内以书面形式答复是否同意延长投标报价有效期，如同意，在延长期内，投标人不能对投标文件进行任何修改；如不同意，则视同为自原有效期截止时止自动放弃投标。</w:t>
      </w:r>
    </w:p>
    <w:p>
      <w:pPr>
        <w:snapToGrid w:val="0"/>
        <w:spacing w:line="360" w:lineRule="auto"/>
        <w:rPr>
          <w:sz w:val="24"/>
        </w:rPr>
      </w:pPr>
    </w:p>
    <w:p>
      <w:pPr>
        <w:snapToGrid w:val="0"/>
        <w:spacing w:line="360" w:lineRule="auto"/>
        <w:ind w:firstLine="480" w:firstLineChars="200"/>
        <w:rPr>
          <w:sz w:val="24"/>
        </w:rPr>
      </w:pPr>
      <w:r>
        <w:rPr>
          <w:rFonts w:hAnsi="宋体"/>
          <w:sz w:val="24"/>
        </w:rPr>
        <w:t>（十</w:t>
      </w:r>
      <w:r>
        <w:rPr>
          <w:rFonts w:hint="eastAsia" w:hAnsi="宋体"/>
          <w:sz w:val="24"/>
        </w:rPr>
        <w:t>五</w:t>
      </w:r>
      <w:r>
        <w:rPr>
          <w:rFonts w:hAnsi="宋体"/>
          <w:sz w:val="24"/>
        </w:rPr>
        <w:t>）投标文件的签署</w:t>
      </w:r>
    </w:p>
    <w:p>
      <w:pPr>
        <w:snapToGrid w:val="0"/>
        <w:spacing w:line="360" w:lineRule="auto"/>
        <w:ind w:firstLine="480" w:firstLineChars="200"/>
        <w:rPr>
          <w:sz w:val="24"/>
        </w:rPr>
      </w:pPr>
      <w:r>
        <w:rPr>
          <w:sz w:val="24"/>
        </w:rPr>
        <w:t>1</w:t>
      </w:r>
      <w:r>
        <w:rPr>
          <w:rFonts w:hAnsi="宋体"/>
          <w:sz w:val="24"/>
        </w:rPr>
        <w:t>、投标文件应由投标人法定代表人或授权代理人签字。授权书以书面委托的方式出具，并附在投标文件中（具体格式见第</w:t>
      </w:r>
      <w:r>
        <w:rPr>
          <w:rFonts w:hint="eastAsia" w:hAnsi="宋体"/>
          <w:sz w:val="24"/>
        </w:rPr>
        <w:t>四</w:t>
      </w:r>
      <w:r>
        <w:rPr>
          <w:rFonts w:hAnsi="宋体"/>
          <w:sz w:val="24"/>
        </w:rPr>
        <w:t>部分第三项）；</w:t>
      </w:r>
    </w:p>
    <w:p>
      <w:pPr>
        <w:snapToGrid w:val="0"/>
        <w:spacing w:line="360" w:lineRule="auto"/>
        <w:ind w:firstLine="482" w:firstLineChars="200"/>
        <w:rPr>
          <w:b/>
          <w:bCs/>
          <w:sz w:val="24"/>
        </w:rPr>
      </w:pPr>
      <w:r>
        <w:rPr>
          <w:b/>
          <w:bCs/>
          <w:sz w:val="24"/>
        </w:rPr>
        <w:t>2</w:t>
      </w:r>
      <w:r>
        <w:rPr>
          <w:rFonts w:hAnsi="宋体"/>
          <w:b/>
          <w:bCs/>
          <w:sz w:val="24"/>
        </w:rPr>
        <w:t>、本文件中第</w:t>
      </w:r>
      <w:r>
        <w:rPr>
          <w:rFonts w:hint="eastAsia" w:hAnsi="宋体"/>
          <w:b/>
          <w:bCs/>
          <w:sz w:val="24"/>
        </w:rPr>
        <w:t>四</w:t>
      </w:r>
      <w:r>
        <w:rPr>
          <w:rFonts w:hAnsi="宋体"/>
          <w:b/>
          <w:bCs/>
          <w:sz w:val="24"/>
        </w:rPr>
        <w:t>部分</w:t>
      </w:r>
      <w:r>
        <w:rPr>
          <w:b/>
          <w:bCs/>
          <w:sz w:val="24"/>
        </w:rPr>
        <w:t>“</w:t>
      </w:r>
      <w:r>
        <w:rPr>
          <w:rFonts w:hAnsi="宋体"/>
          <w:b/>
          <w:bCs/>
          <w:sz w:val="24"/>
        </w:rPr>
        <w:t>投标文件编制格式</w:t>
      </w:r>
      <w:r>
        <w:rPr>
          <w:b/>
          <w:bCs/>
          <w:sz w:val="24"/>
        </w:rPr>
        <w:t>”</w:t>
      </w:r>
      <w:r>
        <w:rPr>
          <w:rFonts w:hAnsi="宋体"/>
          <w:b/>
          <w:bCs/>
          <w:sz w:val="24"/>
        </w:rPr>
        <w:t>要求的签章之处，应由投标人代表或授权代理人签字并加盖公章。</w:t>
      </w:r>
    </w:p>
    <w:p>
      <w:pPr>
        <w:snapToGrid w:val="0"/>
        <w:spacing w:line="360" w:lineRule="auto"/>
        <w:rPr>
          <w:b/>
          <w:bCs/>
          <w:sz w:val="24"/>
        </w:rPr>
      </w:pPr>
    </w:p>
    <w:p>
      <w:pPr>
        <w:pStyle w:val="6"/>
        <w:snapToGrid w:val="0"/>
        <w:spacing w:before="120" w:after="120" w:line="360" w:lineRule="auto"/>
        <w:jc w:val="center"/>
        <w:rPr>
          <w:sz w:val="28"/>
          <w:szCs w:val="28"/>
        </w:rPr>
      </w:pPr>
      <w:bookmarkStart w:id="126" w:name="_Toc32523"/>
      <w:bookmarkStart w:id="127" w:name="_Toc2137"/>
      <w:bookmarkStart w:id="128" w:name="_Toc21173"/>
      <w:bookmarkStart w:id="129" w:name="_Toc27284"/>
      <w:bookmarkStart w:id="130" w:name="_Toc18877"/>
      <w:bookmarkStart w:id="131" w:name="_Toc15964"/>
      <w:bookmarkStart w:id="132" w:name="_Toc26757"/>
      <w:bookmarkStart w:id="133" w:name="_Toc26340"/>
      <w:bookmarkStart w:id="134" w:name="_Toc10571"/>
      <w:bookmarkStart w:id="135" w:name="_Toc9277"/>
      <w:bookmarkStart w:id="136" w:name="_Toc27996"/>
      <w:bookmarkStart w:id="137" w:name="_Toc17060"/>
      <w:bookmarkStart w:id="138" w:name="_Toc28222"/>
      <w:bookmarkStart w:id="139" w:name="_Toc24558"/>
      <w:bookmarkStart w:id="140" w:name="_Toc21966"/>
      <w:bookmarkStart w:id="141" w:name="_Toc32224"/>
      <w:bookmarkStart w:id="142" w:name="_Toc2377"/>
      <w:bookmarkStart w:id="143" w:name="_Toc4164"/>
      <w:bookmarkStart w:id="144" w:name="_Toc9585"/>
      <w:bookmarkStart w:id="145" w:name="_Toc2725"/>
      <w:bookmarkStart w:id="146" w:name="_Toc251"/>
      <w:r>
        <w:rPr>
          <w:sz w:val="28"/>
          <w:szCs w:val="28"/>
        </w:rPr>
        <w:t>四、投标文件的编制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napToGrid w:val="0"/>
        <w:spacing w:line="360" w:lineRule="auto"/>
        <w:ind w:firstLine="480" w:firstLineChars="200"/>
        <w:rPr>
          <w:sz w:val="24"/>
        </w:rPr>
      </w:pPr>
      <w:r>
        <w:rPr>
          <w:rFonts w:hAnsi="宋体"/>
          <w:sz w:val="24"/>
        </w:rPr>
        <w:t>（十</w:t>
      </w:r>
      <w:r>
        <w:rPr>
          <w:rFonts w:hint="eastAsia" w:hAnsi="宋体"/>
          <w:sz w:val="24"/>
        </w:rPr>
        <w:t>六</w:t>
      </w:r>
      <w:r>
        <w:rPr>
          <w:rFonts w:hAnsi="宋体"/>
          <w:sz w:val="24"/>
        </w:rPr>
        <w:t>）投标文件的编制</w:t>
      </w:r>
    </w:p>
    <w:p>
      <w:pPr>
        <w:snapToGrid w:val="0"/>
        <w:spacing w:line="360" w:lineRule="auto"/>
        <w:ind w:firstLine="480" w:firstLineChars="200"/>
        <w:rPr>
          <w:sz w:val="24"/>
        </w:rPr>
      </w:pPr>
      <w:r>
        <w:rPr>
          <w:sz w:val="24"/>
        </w:rPr>
        <w:t>1</w:t>
      </w:r>
      <w:r>
        <w:rPr>
          <w:rFonts w:hAnsi="宋体"/>
          <w:sz w:val="24"/>
        </w:rPr>
        <w:t>、投标人必须严格按照招标文件规定的内容、格式要求用中文编制投标文件，内容及编辑顺序应与招标文件第</w:t>
      </w:r>
      <w:r>
        <w:rPr>
          <w:rFonts w:hint="eastAsia" w:hAnsi="宋体"/>
          <w:sz w:val="24"/>
        </w:rPr>
        <w:t>四</w:t>
      </w:r>
      <w:r>
        <w:rPr>
          <w:rFonts w:hAnsi="宋体"/>
          <w:sz w:val="24"/>
        </w:rPr>
        <w:t>部分投标文件编制格式一致；若投标文件中有其它语言的书面材料，则须附有中文译本，并以中文译文为准。</w:t>
      </w:r>
    </w:p>
    <w:p>
      <w:pPr>
        <w:snapToGrid w:val="0"/>
        <w:spacing w:line="360" w:lineRule="auto"/>
        <w:ind w:firstLine="480" w:firstLineChars="200"/>
        <w:rPr>
          <w:sz w:val="24"/>
        </w:rPr>
      </w:pPr>
      <w:r>
        <w:rPr>
          <w:sz w:val="24"/>
        </w:rPr>
        <w:t>2</w:t>
      </w:r>
      <w:r>
        <w:rPr>
          <w:rFonts w:hAnsi="宋体"/>
          <w:sz w:val="24"/>
        </w:rPr>
        <w:t>、投标报价参照招标文件第</w:t>
      </w:r>
      <w:r>
        <w:rPr>
          <w:rFonts w:hint="eastAsia" w:hAnsi="宋体"/>
          <w:sz w:val="24"/>
        </w:rPr>
        <w:t>四</w:t>
      </w:r>
      <w:r>
        <w:rPr>
          <w:rFonts w:hAnsi="宋体"/>
          <w:sz w:val="24"/>
        </w:rPr>
        <w:t>部分第一项相关内容要求及格式进行编制；</w:t>
      </w:r>
    </w:p>
    <w:p>
      <w:pPr>
        <w:snapToGrid w:val="0"/>
        <w:spacing w:line="360" w:lineRule="auto"/>
        <w:ind w:firstLine="480" w:firstLineChars="200"/>
        <w:rPr>
          <w:sz w:val="24"/>
        </w:rPr>
      </w:pPr>
      <w:r>
        <w:rPr>
          <w:sz w:val="24"/>
        </w:rPr>
        <w:t>3</w:t>
      </w:r>
      <w:r>
        <w:rPr>
          <w:rFonts w:hAnsi="宋体"/>
          <w:sz w:val="24"/>
        </w:rPr>
        <w:t>、投标人提出的不同于招标文件第</w:t>
      </w:r>
      <w:r>
        <w:rPr>
          <w:rFonts w:hint="eastAsia" w:hAnsi="宋体"/>
          <w:sz w:val="24"/>
        </w:rPr>
        <w:t>三</w:t>
      </w:r>
      <w:r>
        <w:rPr>
          <w:rFonts w:hAnsi="宋体"/>
          <w:sz w:val="24"/>
        </w:rPr>
        <w:t>部分保险合同条款的内容，统一汇总到差异条件汇总表中（见第</w:t>
      </w:r>
      <w:r>
        <w:rPr>
          <w:rFonts w:hint="eastAsia" w:hAnsi="宋体"/>
          <w:sz w:val="24"/>
        </w:rPr>
        <w:t>四</w:t>
      </w:r>
      <w:r>
        <w:rPr>
          <w:rFonts w:hAnsi="宋体"/>
          <w:sz w:val="24"/>
        </w:rPr>
        <w:t>部分第四项）；</w:t>
      </w:r>
    </w:p>
    <w:p>
      <w:pPr>
        <w:snapToGrid w:val="0"/>
        <w:spacing w:line="360" w:lineRule="auto"/>
        <w:ind w:firstLine="480" w:firstLineChars="200"/>
        <w:rPr>
          <w:sz w:val="24"/>
        </w:rPr>
      </w:pPr>
      <w:r>
        <w:rPr>
          <w:sz w:val="24"/>
        </w:rPr>
        <w:t>4</w:t>
      </w:r>
      <w:r>
        <w:rPr>
          <w:rFonts w:hAnsi="宋体"/>
          <w:sz w:val="24"/>
        </w:rPr>
        <w:t>、投标人提出的超出招标文件第四部分具体条款的优惠条件，无法汇总到差异表中的，统一汇总到优惠条件汇总表中（见第</w:t>
      </w:r>
      <w:r>
        <w:rPr>
          <w:rFonts w:hint="eastAsia" w:hAnsi="宋体"/>
          <w:sz w:val="24"/>
        </w:rPr>
        <w:t>四</w:t>
      </w:r>
      <w:r>
        <w:rPr>
          <w:rFonts w:hAnsi="宋体"/>
          <w:sz w:val="24"/>
        </w:rPr>
        <w:t>部分第五项）；</w:t>
      </w:r>
    </w:p>
    <w:p>
      <w:pPr>
        <w:snapToGrid w:val="0"/>
        <w:spacing w:line="360" w:lineRule="auto"/>
        <w:ind w:firstLine="480" w:firstLineChars="200"/>
        <w:rPr>
          <w:sz w:val="24"/>
        </w:rPr>
      </w:pPr>
      <w:r>
        <w:rPr>
          <w:sz w:val="24"/>
        </w:rPr>
        <w:t>5</w:t>
      </w:r>
      <w:r>
        <w:rPr>
          <w:rFonts w:hAnsi="宋体"/>
          <w:sz w:val="24"/>
        </w:rPr>
        <w:t>、投标人资格、资信证明文件参照招标文件第</w:t>
      </w:r>
      <w:r>
        <w:rPr>
          <w:rFonts w:hint="eastAsia" w:hAnsi="宋体"/>
          <w:sz w:val="24"/>
        </w:rPr>
        <w:t>四</w:t>
      </w:r>
      <w:r>
        <w:rPr>
          <w:rFonts w:hAnsi="宋体"/>
          <w:sz w:val="24"/>
        </w:rPr>
        <w:t>部分第</w:t>
      </w:r>
      <w:r>
        <w:rPr>
          <w:rFonts w:hint="eastAsia" w:hAnsi="宋体"/>
          <w:sz w:val="24"/>
        </w:rPr>
        <w:t>十</w:t>
      </w:r>
      <w:r>
        <w:rPr>
          <w:rFonts w:hAnsi="宋体"/>
          <w:sz w:val="24"/>
        </w:rPr>
        <w:t>项相关内容要求进行编制；</w:t>
      </w:r>
    </w:p>
    <w:p>
      <w:pPr>
        <w:snapToGrid w:val="0"/>
        <w:spacing w:line="360" w:lineRule="auto"/>
        <w:ind w:firstLine="480" w:firstLineChars="200"/>
        <w:rPr>
          <w:sz w:val="24"/>
        </w:rPr>
      </w:pPr>
      <w:r>
        <w:rPr>
          <w:sz w:val="24"/>
        </w:rPr>
        <w:t>6</w:t>
      </w:r>
      <w:r>
        <w:rPr>
          <w:rFonts w:hAnsi="宋体"/>
          <w:sz w:val="24"/>
        </w:rPr>
        <w:t>、投标文件的正本和副本均须使用不能擦去的墨水打印或书写；</w:t>
      </w:r>
    </w:p>
    <w:p>
      <w:pPr>
        <w:snapToGrid w:val="0"/>
        <w:spacing w:line="360" w:lineRule="auto"/>
        <w:ind w:firstLine="480" w:firstLineChars="200"/>
        <w:rPr>
          <w:sz w:val="24"/>
        </w:rPr>
      </w:pPr>
      <w:r>
        <w:rPr>
          <w:sz w:val="24"/>
        </w:rPr>
        <w:t>7</w:t>
      </w:r>
      <w:r>
        <w:rPr>
          <w:rFonts w:hAnsi="宋体"/>
          <w:sz w:val="24"/>
        </w:rPr>
        <w:t>、全套投标文件应无涂改和行间插字，除非这些删改是根据招标人的指示进行的，或者是投标人造成的必须修改的错误。如属后一种情况，修改处应由投标</w:t>
      </w:r>
      <w:r>
        <w:rPr>
          <w:rFonts w:hint="eastAsia" w:hAnsi="宋体"/>
          <w:sz w:val="24"/>
        </w:rPr>
        <w:t>人法定代表人或授权代理人</w:t>
      </w:r>
      <w:r>
        <w:rPr>
          <w:rFonts w:hAnsi="宋体"/>
          <w:sz w:val="24"/>
        </w:rPr>
        <w:t>签字，并盖</w:t>
      </w:r>
      <w:r>
        <w:rPr>
          <w:rFonts w:hint="eastAsia" w:hAnsi="宋体"/>
          <w:sz w:val="24"/>
        </w:rPr>
        <w:t>校对</w:t>
      </w:r>
      <w:r>
        <w:rPr>
          <w:rFonts w:hAnsi="宋体"/>
          <w:sz w:val="24"/>
        </w:rPr>
        <w:t>章</w:t>
      </w:r>
      <w:r>
        <w:rPr>
          <w:rFonts w:hint="eastAsia" w:hAnsi="宋体"/>
          <w:sz w:val="24"/>
        </w:rPr>
        <w:t>（或公章）</w:t>
      </w:r>
      <w:r>
        <w:rPr>
          <w:rFonts w:hAnsi="宋体"/>
          <w:sz w:val="24"/>
        </w:rPr>
        <w:t>。</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（十</w:t>
      </w:r>
      <w:r>
        <w:rPr>
          <w:rFonts w:hint="eastAsia" w:hAnsi="宋体"/>
          <w:sz w:val="24"/>
        </w:rPr>
        <w:t>七</w:t>
      </w:r>
      <w:r>
        <w:rPr>
          <w:rFonts w:hAnsi="宋体"/>
          <w:sz w:val="24"/>
        </w:rPr>
        <w:t>）投标文件份数</w:t>
      </w:r>
    </w:p>
    <w:p>
      <w:pPr>
        <w:snapToGrid w:val="0"/>
        <w:spacing w:line="360" w:lineRule="auto"/>
        <w:ind w:firstLine="484" w:firstLineChars="202"/>
        <w:rPr>
          <w:sz w:val="24"/>
        </w:rPr>
      </w:pPr>
      <w:r>
        <w:rPr>
          <w:rFonts w:hAnsi="宋体"/>
          <w:sz w:val="24"/>
        </w:rPr>
        <w:t>投标</w:t>
      </w:r>
      <w:r>
        <w:rPr>
          <w:rFonts w:hint="eastAsia" w:hAnsi="宋体"/>
          <w:sz w:val="24"/>
        </w:rPr>
        <w:t>人应按“前附表”要求提供投标</w:t>
      </w:r>
      <w:r>
        <w:rPr>
          <w:rFonts w:hAnsi="宋体"/>
          <w:sz w:val="24"/>
        </w:rPr>
        <w:t>文件</w:t>
      </w:r>
      <w:r>
        <w:rPr>
          <w:rFonts w:hint="eastAsia" w:hAnsi="宋体"/>
          <w:sz w:val="24"/>
        </w:rPr>
        <w:t>的</w:t>
      </w:r>
      <w:r>
        <w:rPr>
          <w:rFonts w:hAnsi="宋体"/>
          <w:sz w:val="24"/>
        </w:rPr>
        <w:t>正本</w:t>
      </w:r>
      <w:r>
        <w:rPr>
          <w:rFonts w:hint="eastAsia" w:hAnsi="宋体"/>
          <w:sz w:val="24"/>
        </w:rPr>
        <w:t>、</w:t>
      </w:r>
      <w:r>
        <w:rPr>
          <w:rFonts w:hAnsi="宋体"/>
          <w:sz w:val="24"/>
        </w:rPr>
        <w:t>副本</w:t>
      </w:r>
      <w:r>
        <w:rPr>
          <w:rFonts w:hint="eastAsia" w:hAnsi="宋体"/>
          <w:sz w:val="24"/>
        </w:rPr>
        <w:t>及</w:t>
      </w:r>
      <w:r>
        <w:rPr>
          <w:rFonts w:hAnsi="宋体"/>
          <w:sz w:val="24"/>
        </w:rPr>
        <w:t>电子版本（电子版本应采</w:t>
      </w:r>
      <w:r>
        <w:rPr>
          <w:rFonts w:hint="eastAsia" w:hAnsi="宋体"/>
          <w:sz w:val="24"/>
        </w:rPr>
        <w:t>用</w:t>
      </w:r>
      <w:r>
        <w:rPr>
          <w:sz w:val="24"/>
        </w:rPr>
        <w:t>U</w:t>
      </w:r>
      <w:r>
        <w:rPr>
          <w:rFonts w:hAnsi="宋体"/>
          <w:sz w:val="24"/>
        </w:rPr>
        <w:t>盘存储</w:t>
      </w:r>
      <w:r>
        <w:rPr>
          <w:rFonts w:hint="eastAsia" w:hAnsi="宋体"/>
          <w:sz w:val="24"/>
        </w:rPr>
        <w:t>，且内容可复制</w:t>
      </w:r>
      <w:r>
        <w:rPr>
          <w:rFonts w:hAnsi="宋体"/>
          <w:sz w:val="24"/>
        </w:rPr>
        <w:t>），当正本、副本、电子版本内容不符时，均以正本为准。</w:t>
      </w:r>
    </w:p>
    <w:p>
      <w:pPr>
        <w:snapToGrid w:val="0"/>
        <w:spacing w:line="360" w:lineRule="auto"/>
        <w:ind w:firstLine="484" w:firstLineChars="202"/>
        <w:rPr>
          <w:sz w:val="24"/>
        </w:rPr>
      </w:pPr>
    </w:p>
    <w:p>
      <w:pPr>
        <w:pStyle w:val="6"/>
        <w:snapToGrid w:val="0"/>
        <w:spacing w:before="120" w:after="120" w:line="360" w:lineRule="auto"/>
        <w:jc w:val="center"/>
        <w:rPr>
          <w:sz w:val="28"/>
          <w:szCs w:val="28"/>
        </w:rPr>
      </w:pPr>
      <w:bookmarkStart w:id="147" w:name="_Toc14334"/>
      <w:bookmarkStart w:id="148" w:name="_Toc31196"/>
      <w:bookmarkStart w:id="149" w:name="_Toc10886"/>
      <w:bookmarkStart w:id="150" w:name="_Toc15329"/>
      <w:bookmarkStart w:id="151" w:name="_Toc2418"/>
      <w:bookmarkStart w:id="152" w:name="_Toc10073"/>
      <w:bookmarkStart w:id="153" w:name="_Toc13029"/>
      <w:bookmarkStart w:id="154" w:name="_Toc8238"/>
      <w:bookmarkStart w:id="155" w:name="_Toc10188"/>
      <w:bookmarkStart w:id="156" w:name="_Toc15269"/>
      <w:bookmarkStart w:id="157" w:name="_Toc16324"/>
      <w:bookmarkStart w:id="158" w:name="_Toc14119"/>
      <w:bookmarkStart w:id="159" w:name="_Toc12570"/>
      <w:bookmarkStart w:id="160" w:name="_Toc27852"/>
      <w:bookmarkStart w:id="161" w:name="_Toc10884"/>
      <w:bookmarkStart w:id="162" w:name="_Toc31429"/>
      <w:bookmarkStart w:id="163" w:name="_Toc23618"/>
      <w:bookmarkStart w:id="164" w:name="_Toc28963"/>
      <w:bookmarkStart w:id="165" w:name="_Toc10076"/>
      <w:bookmarkStart w:id="166" w:name="_Toc25708"/>
      <w:bookmarkStart w:id="167" w:name="_Toc6300"/>
      <w:r>
        <w:rPr>
          <w:sz w:val="28"/>
          <w:szCs w:val="28"/>
        </w:rPr>
        <w:t>五、投标文件的递交</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snapToGrid w:val="0"/>
        <w:spacing w:line="360" w:lineRule="auto"/>
        <w:ind w:firstLine="480" w:firstLineChars="200"/>
        <w:rPr>
          <w:sz w:val="24"/>
        </w:rPr>
      </w:pPr>
      <w:r>
        <w:rPr>
          <w:rFonts w:hAnsi="宋体"/>
          <w:sz w:val="24"/>
        </w:rPr>
        <w:t>（十</w:t>
      </w:r>
      <w:r>
        <w:rPr>
          <w:rFonts w:hint="eastAsia" w:hAnsi="宋体"/>
          <w:sz w:val="24"/>
        </w:rPr>
        <w:t>八</w:t>
      </w:r>
      <w:r>
        <w:rPr>
          <w:rFonts w:hAnsi="宋体"/>
          <w:sz w:val="24"/>
        </w:rPr>
        <w:t>）投标文件的密封与标记</w:t>
      </w:r>
    </w:p>
    <w:p>
      <w:pPr>
        <w:snapToGrid w:val="0"/>
        <w:spacing w:line="360" w:lineRule="auto"/>
        <w:ind w:firstLine="480" w:firstLineChars="200"/>
        <w:rPr>
          <w:b/>
          <w:bCs/>
          <w:sz w:val="24"/>
        </w:rPr>
      </w:pPr>
      <w:r>
        <w:rPr>
          <w:sz w:val="24"/>
        </w:rPr>
        <w:t>1</w:t>
      </w:r>
      <w:r>
        <w:rPr>
          <w:rFonts w:hAnsi="宋体"/>
          <w:sz w:val="24"/>
        </w:rPr>
        <w:t>、</w:t>
      </w:r>
      <w:r>
        <w:rPr>
          <w:rFonts w:hAnsi="宋体"/>
          <w:b/>
          <w:bCs/>
          <w:sz w:val="24"/>
        </w:rPr>
        <w:t>投标文件的正本、副本分别包装，</w:t>
      </w:r>
      <w:r>
        <w:rPr>
          <w:rFonts w:hint="eastAsia" w:hAnsi="宋体"/>
          <w:b/>
          <w:bCs/>
          <w:sz w:val="24"/>
        </w:rPr>
        <w:t>必须由投标人法定代表人或授权代理人</w:t>
      </w:r>
      <w:r>
        <w:rPr>
          <w:rFonts w:hAnsi="宋体"/>
          <w:b/>
          <w:bCs/>
          <w:sz w:val="24"/>
        </w:rPr>
        <w:t>送交</w:t>
      </w:r>
      <w:r>
        <w:rPr>
          <w:rFonts w:hint="eastAsia" w:hAnsi="宋体"/>
          <w:b/>
          <w:bCs/>
          <w:sz w:val="24"/>
        </w:rPr>
        <w:t>至</w:t>
      </w:r>
      <w:r>
        <w:rPr>
          <w:rFonts w:hAnsi="宋体"/>
          <w:b/>
          <w:bCs/>
          <w:sz w:val="24"/>
        </w:rPr>
        <w:t>招标人</w:t>
      </w:r>
      <w:r>
        <w:rPr>
          <w:rFonts w:hint="eastAsia" w:hAnsi="宋体"/>
          <w:b/>
          <w:bCs/>
          <w:sz w:val="24"/>
        </w:rPr>
        <w:t>指定地点</w:t>
      </w:r>
      <w:r>
        <w:rPr>
          <w:rFonts w:hAnsi="宋体"/>
          <w:b/>
          <w:bCs/>
          <w:sz w:val="24"/>
        </w:rPr>
        <w:t>。投标文件封套上都要贴密封条，并做上</w:t>
      </w:r>
      <w:r>
        <w:rPr>
          <w:b/>
          <w:bCs/>
          <w:sz w:val="24"/>
        </w:rPr>
        <w:t>“</w:t>
      </w:r>
      <w:r>
        <w:rPr>
          <w:rFonts w:hAnsi="宋体"/>
          <w:b/>
          <w:bCs/>
          <w:sz w:val="24"/>
        </w:rPr>
        <w:t>正本</w:t>
      </w:r>
      <w:r>
        <w:rPr>
          <w:b/>
          <w:bCs/>
          <w:sz w:val="24"/>
        </w:rPr>
        <w:t>”</w:t>
      </w:r>
      <w:r>
        <w:rPr>
          <w:rFonts w:hAnsi="宋体"/>
          <w:b/>
          <w:bCs/>
          <w:sz w:val="24"/>
        </w:rPr>
        <w:t>、</w:t>
      </w:r>
      <w:r>
        <w:rPr>
          <w:b/>
          <w:bCs/>
          <w:sz w:val="24"/>
        </w:rPr>
        <w:t>“</w:t>
      </w:r>
      <w:r>
        <w:rPr>
          <w:rFonts w:hAnsi="宋体"/>
          <w:b/>
          <w:bCs/>
          <w:sz w:val="24"/>
        </w:rPr>
        <w:t>副本</w:t>
      </w:r>
      <w:r>
        <w:rPr>
          <w:b/>
          <w:bCs/>
          <w:sz w:val="24"/>
        </w:rPr>
        <w:t>”</w:t>
      </w:r>
      <w:r>
        <w:rPr>
          <w:rFonts w:hAnsi="宋体"/>
          <w:b/>
          <w:bCs/>
          <w:sz w:val="24"/>
        </w:rPr>
        <w:t>标记</w:t>
      </w:r>
      <w:r>
        <w:rPr>
          <w:rFonts w:hint="eastAsia" w:hAnsi="宋体"/>
          <w:b/>
          <w:bCs/>
          <w:sz w:val="24"/>
        </w:rPr>
        <w:t>，密封条封口处应由法定代表人或授权代理人签字并加盖公章或密封章</w:t>
      </w:r>
      <w:r>
        <w:rPr>
          <w:rFonts w:hAnsi="宋体"/>
          <w:b/>
          <w:bCs/>
          <w:sz w:val="24"/>
        </w:rPr>
        <w:t>。未密封</w:t>
      </w:r>
      <w:r>
        <w:rPr>
          <w:rFonts w:hint="eastAsia" w:hAnsi="宋体"/>
          <w:b/>
          <w:bCs/>
          <w:sz w:val="24"/>
        </w:rPr>
        <w:t>及未签字</w:t>
      </w:r>
      <w:r>
        <w:rPr>
          <w:rFonts w:hAnsi="宋体"/>
          <w:b/>
          <w:bCs/>
          <w:sz w:val="24"/>
        </w:rPr>
        <w:t>的投标书将不予签收。</w:t>
      </w:r>
    </w:p>
    <w:p>
      <w:pPr>
        <w:snapToGrid w:val="0"/>
        <w:spacing w:line="360" w:lineRule="auto"/>
        <w:ind w:firstLine="480" w:firstLineChars="200"/>
        <w:rPr>
          <w:sz w:val="24"/>
        </w:rPr>
      </w:pPr>
      <w:r>
        <w:rPr>
          <w:sz w:val="24"/>
        </w:rPr>
        <w:t>2</w:t>
      </w:r>
      <w:r>
        <w:rPr>
          <w:rFonts w:hAnsi="宋体"/>
          <w:sz w:val="24"/>
        </w:rPr>
        <w:t>、投标人应将投标文件的电子版本</w:t>
      </w:r>
      <w:r>
        <w:rPr>
          <w:rFonts w:hint="eastAsia" w:hAnsi="宋体"/>
          <w:sz w:val="24"/>
        </w:rPr>
        <w:t>(word版本、</w:t>
      </w:r>
      <w:r>
        <w:rPr>
          <w:rFonts w:hAnsi="宋体"/>
          <w:sz w:val="24"/>
        </w:rPr>
        <w:t>以</w:t>
      </w:r>
      <w:r>
        <w:rPr>
          <w:sz w:val="24"/>
        </w:rPr>
        <w:t>U</w:t>
      </w:r>
      <w:r>
        <w:rPr>
          <w:rFonts w:hAnsi="宋体"/>
          <w:sz w:val="24"/>
        </w:rPr>
        <w:t>盘的形式一起密封在投标文件正本封套中；</w:t>
      </w:r>
      <w:r>
        <w:rPr>
          <w:sz w:val="24"/>
        </w:rPr>
        <w:t xml:space="preserve"> </w:t>
      </w:r>
    </w:p>
    <w:p>
      <w:pPr>
        <w:snapToGrid w:val="0"/>
        <w:spacing w:line="360" w:lineRule="auto"/>
        <w:ind w:firstLine="480" w:firstLineChars="200"/>
        <w:rPr>
          <w:sz w:val="24"/>
        </w:rPr>
      </w:pPr>
      <w:r>
        <w:rPr>
          <w:sz w:val="24"/>
        </w:rPr>
        <w:t>3</w:t>
      </w:r>
      <w:r>
        <w:rPr>
          <w:rFonts w:hAnsi="宋体"/>
          <w:sz w:val="24"/>
        </w:rPr>
        <w:t>、在</w:t>
      </w:r>
      <w:r>
        <w:rPr>
          <w:rFonts w:hint="eastAsia" w:hAnsi="宋体"/>
          <w:sz w:val="24"/>
        </w:rPr>
        <w:t>外</w:t>
      </w:r>
      <w:r>
        <w:rPr>
          <w:rFonts w:hAnsi="宋体"/>
          <w:sz w:val="24"/>
        </w:rPr>
        <w:t>封套上写明：</w:t>
      </w:r>
    </w:p>
    <w:p>
      <w:pPr>
        <w:snapToGrid w:val="0"/>
        <w:spacing w:line="360" w:lineRule="auto"/>
        <w:ind w:firstLine="480" w:firstLineChars="200"/>
        <w:rPr>
          <w:sz w:val="24"/>
        </w:rPr>
      </w:pPr>
      <w:r>
        <w:rPr>
          <w:rFonts w:hAnsi="宋体"/>
          <w:sz w:val="24"/>
        </w:rPr>
        <w:t>（</w:t>
      </w:r>
      <w:r>
        <w:rPr>
          <w:sz w:val="24"/>
        </w:rPr>
        <w:t>1</w:t>
      </w:r>
      <w:r>
        <w:rPr>
          <w:rFonts w:hAnsi="宋体"/>
          <w:sz w:val="24"/>
        </w:rPr>
        <w:t>）</w:t>
      </w:r>
      <w:r>
        <w:rPr>
          <w:rFonts w:hint="eastAsia" w:hAnsi="宋体"/>
          <w:sz w:val="24"/>
        </w:rPr>
        <w:t>江苏大生集团有限公司财产保险项目保险</w:t>
      </w:r>
      <w:r>
        <w:rPr>
          <w:rFonts w:hAnsi="宋体"/>
          <w:sz w:val="24"/>
        </w:rPr>
        <w:t>投标书</w:t>
      </w:r>
    </w:p>
    <w:p>
      <w:pPr>
        <w:snapToGrid w:val="0"/>
        <w:spacing w:line="360" w:lineRule="auto"/>
        <w:ind w:firstLine="480" w:firstLineChars="200"/>
        <w:rPr>
          <w:sz w:val="24"/>
        </w:rPr>
      </w:pPr>
      <w:r>
        <w:rPr>
          <w:rFonts w:hAnsi="宋体"/>
          <w:sz w:val="24"/>
        </w:rPr>
        <w:t>（</w:t>
      </w:r>
      <w:r>
        <w:rPr>
          <w:sz w:val="24"/>
        </w:rPr>
        <w:t>2</w:t>
      </w:r>
      <w:r>
        <w:rPr>
          <w:rFonts w:hAnsi="宋体"/>
          <w:sz w:val="24"/>
        </w:rPr>
        <w:t>）投标人信息：</w:t>
      </w:r>
    </w:p>
    <w:p>
      <w:pPr>
        <w:snapToGrid w:val="0"/>
        <w:spacing w:line="360" w:lineRule="auto"/>
        <w:ind w:firstLine="480" w:firstLineChars="200"/>
        <w:rPr>
          <w:sz w:val="24"/>
        </w:rPr>
      </w:pPr>
      <w:r>
        <w:rPr>
          <w:rFonts w:hAnsi="宋体"/>
          <w:sz w:val="24"/>
        </w:rPr>
        <w:t>名称：（投标</w:t>
      </w:r>
      <w:r>
        <w:rPr>
          <w:rFonts w:hint="eastAsia" w:hAnsi="宋体"/>
          <w:sz w:val="24"/>
        </w:rPr>
        <w:t>人</w:t>
      </w:r>
      <w:r>
        <w:rPr>
          <w:rFonts w:hAnsi="宋体"/>
          <w:sz w:val="24"/>
        </w:rPr>
        <w:t>名称）</w:t>
      </w:r>
    </w:p>
    <w:p>
      <w:pPr>
        <w:snapToGrid w:val="0"/>
        <w:spacing w:line="360" w:lineRule="auto"/>
        <w:ind w:firstLine="480" w:firstLineChars="200"/>
        <w:rPr>
          <w:sz w:val="24"/>
        </w:rPr>
      </w:pPr>
      <w:r>
        <w:rPr>
          <w:rFonts w:hAnsi="宋体"/>
          <w:sz w:val="24"/>
        </w:rPr>
        <w:t>地址：（投标</w:t>
      </w:r>
      <w:r>
        <w:rPr>
          <w:rFonts w:hint="eastAsia" w:hAnsi="宋体"/>
          <w:sz w:val="24"/>
        </w:rPr>
        <w:t>人</w:t>
      </w:r>
      <w:r>
        <w:rPr>
          <w:rFonts w:hAnsi="宋体"/>
          <w:sz w:val="24"/>
        </w:rPr>
        <w:t>地址）</w:t>
      </w:r>
    </w:p>
    <w:p>
      <w:pPr>
        <w:snapToGrid w:val="0"/>
        <w:spacing w:line="360" w:lineRule="auto"/>
        <w:ind w:firstLine="480" w:firstLineChars="200"/>
        <w:rPr>
          <w:sz w:val="24"/>
        </w:rPr>
      </w:pPr>
      <w:r>
        <w:rPr>
          <w:rFonts w:hAnsi="宋体"/>
          <w:sz w:val="24"/>
        </w:rPr>
        <w:t>邮编：（投标</w:t>
      </w:r>
      <w:r>
        <w:rPr>
          <w:rFonts w:hint="eastAsia" w:hAnsi="宋体"/>
          <w:sz w:val="24"/>
        </w:rPr>
        <w:t>人</w:t>
      </w:r>
      <w:r>
        <w:rPr>
          <w:rFonts w:hAnsi="宋体"/>
          <w:sz w:val="24"/>
        </w:rPr>
        <w:t>邮编）</w:t>
      </w:r>
    </w:p>
    <w:p>
      <w:pPr>
        <w:snapToGrid w:val="0"/>
        <w:spacing w:line="360" w:lineRule="auto"/>
        <w:ind w:firstLine="480" w:firstLineChars="200"/>
        <w:rPr>
          <w:sz w:val="24"/>
        </w:rPr>
      </w:pPr>
      <w:r>
        <w:rPr>
          <w:rFonts w:hAnsi="宋体"/>
          <w:sz w:val="24"/>
        </w:rPr>
        <w:t>（</w:t>
      </w:r>
      <w:r>
        <w:rPr>
          <w:sz w:val="24"/>
        </w:rPr>
        <w:t>3</w:t>
      </w:r>
      <w:r>
        <w:rPr>
          <w:rFonts w:hAnsi="宋体"/>
          <w:sz w:val="24"/>
        </w:rPr>
        <w:t>）</w:t>
      </w:r>
      <w:r>
        <w:rPr>
          <w:rFonts w:hint="eastAsia"/>
          <w:sz w:val="24"/>
          <w:u w:val="single"/>
        </w:rPr>
        <w:t>202</w:t>
      </w:r>
      <w:r>
        <w:rPr>
          <w:rFonts w:hint="eastAsia"/>
          <w:sz w:val="24"/>
          <w:u w:val="single"/>
          <w:lang w:val="en-US" w:eastAsia="zh-CN"/>
        </w:rPr>
        <w:t>3</w:t>
      </w:r>
      <w:r>
        <w:rPr>
          <w:rFonts w:hint="eastAsia"/>
          <w:sz w:val="24"/>
          <w:highlight w:val="none"/>
          <w:u w:val="single"/>
        </w:rPr>
        <w:t>年0</w:t>
      </w:r>
      <w:r>
        <w:rPr>
          <w:rFonts w:hint="eastAsia"/>
          <w:sz w:val="24"/>
          <w:highlight w:val="none"/>
          <w:u w:val="single"/>
          <w:lang w:val="en-US" w:eastAsia="zh-CN"/>
        </w:rPr>
        <w:t>8</w:t>
      </w:r>
      <w:r>
        <w:rPr>
          <w:rFonts w:hint="eastAsia"/>
          <w:sz w:val="24"/>
          <w:highlight w:val="none"/>
          <w:u w:val="single"/>
        </w:rPr>
        <w:t>月</w:t>
      </w:r>
      <w:r>
        <w:rPr>
          <w:rFonts w:hint="eastAsia"/>
          <w:sz w:val="24"/>
          <w:highlight w:val="none"/>
          <w:u w:val="single"/>
          <w:lang w:val="en-US" w:eastAsia="zh-CN"/>
        </w:rPr>
        <w:t>08</w:t>
      </w:r>
      <w:r>
        <w:rPr>
          <w:sz w:val="24"/>
          <w:highlight w:val="none"/>
          <w:u w:val="single"/>
        </w:rPr>
        <w:t>日</w:t>
      </w:r>
      <w:r>
        <w:rPr>
          <w:rFonts w:hint="eastAsia"/>
          <w:sz w:val="24"/>
          <w:highlight w:val="none"/>
          <w:u w:val="single"/>
        </w:rPr>
        <w:t>9：3</w:t>
      </w:r>
      <w:r>
        <w:rPr>
          <w:rFonts w:hint="eastAsia"/>
          <w:sz w:val="24"/>
          <w:u w:val="single"/>
        </w:rPr>
        <w:t xml:space="preserve">0 </w:t>
      </w:r>
      <w:r>
        <w:rPr>
          <w:sz w:val="24"/>
          <w:u w:val="single"/>
        </w:rPr>
        <w:t>前不得开封。</w:t>
      </w:r>
    </w:p>
    <w:p>
      <w:pPr>
        <w:snapToGrid w:val="0"/>
        <w:spacing w:line="360" w:lineRule="auto"/>
        <w:ind w:firstLine="480" w:firstLineChars="200"/>
        <w:rPr>
          <w:sz w:val="24"/>
        </w:rPr>
      </w:pPr>
      <w:r>
        <w:rPr>
          <w:rFonts w:hint="eastAsia"/>
          <w:sz w:val="24"/>
        </w:rPr>
        <w:t>4</w:t>
      </w:r>
      <w:r>
        <w:rPr>
          <w:sz w:val="24"/>
        </w:rPr>
        <w:t>、因投标</w:t>
      </w:r>
      <w:r>
        <w:rPr>
          <w:rFonts w:hint="eastAsia"/>
          <w:sz w:val="24"/>
        </w:rPr>
        <w:t>人不清楚投标文件递交</w:t>
      </w:r>
      <w:r>
        <w:rPr>
          <w:sz w:val="24"/>
        </w:rPr>
        <w:t>地点而使投标书迟到或遗失</w:t>
      </w:r>
      <w:r>
        <w:rPr>
          <w:rFonts w:hint="eastAsia"/>
          <w:sz w:val="24"/>
        </w:rPr>
        <w:t>，</w:t>
      </w:r>
      <w:r>
        <w:rPr>
          <w:sz w:val="24"/>
        </w:rPr>
        <w:t>或因投标书密封不严、标记不明而造成过早启封、失密等，招标</w:t>
      </w:r>
      <w:r>
        <w:rPr>
          <w:rFonts w:hint="eastAsia"/>
          <w:sz w:val="24"/>
        </w:rPr>
        <w:t>人</w:t>
      </w:r>
      <w:r>
        <w:rPr>
          <w:sz w:val="24"/>
        </w:rPr>
        <w:t>概不负责。</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w:t>
      </w:r>
      <w:r>
        <w:rPr>
          <w:rFonts w:hint="eastAsia"/>
          <w:sz w:val="24"/>
        </w:rPr>
        <w:t>十九</w:t>
      </w:r>
      <w:r>
        <w:rPr>
          <w:sz w:val="24"/>
        </w:rPr>
        <w:t>） 投标截止日期</w:t>
      </w:r>
    </w:p>
    <w:p>
      <w:pPr>
        <w:snapToGrid w:val="0"/>
        <w:spacing w:line="360" w:lineRule="auto"/>
        <w:ind w:firstLine="480" w:firstLineChars="200"/>
        <w:rPr>
          <w:sz w:val="24"/>
        </w:rPr>
      </w:pPr>
      <w:r>
        <w:rPr>
          <w:sz w:val="24"/>
        </w:rPr>
        <w:t>1、投标人必须在前附表规定的时间内将投标文件送</w:t>
      </w:r>
      <w:r>
        <w:rPr>
          <w:rFonts w:hint="eastAsia"/>
          <w:sz w:val="24"/>
        </w:rPr>
        <w:t>至本须知规定的地址/邮箱；</w:t>
      </w:r>
    </w:p>
    <w:p>
      <w:pPr>
        <w:snapToGrid w:val="0"/>
        <w:spacing w:line="360" w:lineRule="auto"/>
        <w:ind w:firstLine="480" w:firstLineChars="200"/>
        <w:rPr>
          <w:sz w:val="24"/>
        </w:rPr>
      </w:pPr>
      <w:r>
        <w:rPr>
          <w:sz w:val="24"/>
        </w:rPr>
        <w:t>2、在本须知规定的投标截止时间以后，招标</w:t>
      </w:r>
      <w:r>
        <w:rPr>
          <w:rFonts w:hint="eastAsia"/>
          <w:sz w:val="24"/>
        </w:rPr>
        <w:t>人</w:t>
      </w:r>
      <w:r>
        <w:rPr>
          <w:sz w:val="24"/>
        </w:rPr>
        <w:t>将</w:t>
      </w:r>
      <w:r>
        <w:rPr>
          <w:rFonts w:hint="eastAsia"/>
          <w:sz w:val="24"/>
        </w:rPr>
        <w:t>不再接收任何投标文件</w:t>
      </w:r>
      <w:r>
        <w:rPr>
          <w:sz w:val="24"/>
        </w:rPr>
        <w:t>。</w:t>
      </w:r>
    </w:p>
    <w:p>
      <w:pPr>
        <w:snapToGrid w:val="0"/>
        <w:spacing w:line="360" w:lineRule="auto"/>
        <w:rPr>
          <w:sz w:val="24"/>
        </w:rPr>
      </w:pPr>
    </w:p>
    <w:p>
      <w:pPr>
        <w:pStyle w:val="6"/>
        <w:snapToGrid w:val="0"/>
        <w:spacing w:before="120" w:after="120" w:line="360" w:lineRule="auto"/>
        <w:jc w:val="center"/>
        <w:rPr>
          <w:sz w:val="28"/>
          <w:szCs w:val="28"/>
        </w:rPr>
      </w:pPr>
      <w:bookmarkStart w:id="168" w:name="_Toc17546"/>
      <w:bookmarkStart w:id="169" w:name="_Toc3696"/>
      <w:bookmarkStart w:id="170" w:name="_Toc3623"/>
      <w:bookmarkStart w:id="171" w:name="_Toc27238"/>
      <w:bookmarkStart w:id="172" w:name="_Toc7515"/>
      <w:bookmarkStart w:id="173" w:name="_Toc25163"/>
      <w:bookmarkStart w:id="174" w:name="_Toc31447"/>
      <w:bookmarkStart w:id="175" w:name="_Toc5132"/>
      <w:bookmarkStart w:id="176" w:name="_Toc9422"/>
      <w:bookmarkStart w:id="177" w:name="_Toc13858"/>
      <w:bookmarkStart w:id="178" w:name="_Toc3826"/>
      <w:bookmarkStart w:id="179" w:name="_Toc3113"/>
      <w:bookmarkStart w:id="180" w:name="_Toc9220"/>
      <w:bookmarkStart w:id="181" w:name="_Toc22759"/>
      <w:bookmarkStart w:id="182" w:name="_Toc21817"/>
      <w:bookmarkStart w:id="183" w:name="_Toc15762"/>
      <w:bookmarkStart w:id="184" w:name="_Toc32463"/>
      <w:bookmarkStart w:id="185" w:name="_Toc20019"/>
      <w:bookmarkStart w:id="186" w:name="_Toc27300"/>
      <w:bookmarkStart w:id="187" w:name="_Toc17083"/>
      <w:bookmarkStart w:id="188" w:name="_Toc23258"/>
      <w:r>
        <w:rPr>
          <w:sz w:val="28"/>
          <w:szCs w:val="28"/>
        </w:rPr>
        <w:t>六、开  标</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snapToGrid w:val="0"/>
        <w:spacing w:line="360" w:lineRule="auto"/>
        <w:ind w:firstLine="480" w:firstLineChars="200"/>
        <w:rPr>
          <w:sz w:val="24"/>
        </w:rPr>
      </w:pPr>
      <w:r>
        <w:rPr>
          <w:sz w:val="24"/>
        </w:rPr>
        <w:t>（二十）开标</w:t>
      </w:r>
    </w:p>
    <w:p>
      <w:pPr>
        <w:snapToGrid w:val="0"/>
        <w:spacing w:line="360" w:lineRule="auto"/>
        <w:ind w:firstLine="480" w:firstLineChars="200"/>
        <w:rPr>
          <w:sz w:val="24"/>
        </w:rPr>
      </w:pPr>
      <w:r>
        <w:rPr>
          <w:rFonts w:hint="eastAsia"/>
          <w:sz w:val="24"/>
        </w:rPr>
        <w:t>1、</w:t>
      </w:r>
      <w:r>
        <w:rPr>
          <w:sz w:val="24"/>
        </w:rPr>
        <w:t>招标</w:t>
      </w:r>
      <w:r>
        <w:rPr>
          <w:rFonts w:hint="eastAsia"/>
          <w:sz w:val="24"/>
        </w:rPr>
        <w:t>人将于投标截止后，在江苏大生集团有限公司选择的方式进行内部开标</w:t>
      </w:r>
      <w:r>
        <w:rPr>
          <w:sz w:val="24"/>
        </w:rPr>
        <w:t>；</w:t>
      </w:r>
    </w:p>
    <w:p>
      <w:pPr>
        <w:snapToGrid w:val="0"/>
        <w:spacing w:line="360" w:lineRule="auto"/>
        <w:ind w:firstLine="480" w:firstLineChars="200"/>
        <w:rPr>
          <w:sz w:val="24"/>
        </w:rPr>
      </w:pPr>
      <w:r>
        <w:rPr>
          <w:sz w:val="24"/>
        </w:rPr>
        <w:t>2、招标</w:t>
      </w:r>
      <w:r>
        <w:rPr>
          <w:rFonts w:hint="eastAsia"/>
          <w:sz w:val="24"/>
        </w:rPr>
        <w:t>人</w:t>
      </w:r>
      <w:r>
        <w:rPr>
          <w:sz w:val="24"/>
        </w:rPr>
        <w:t>的工作人员对所有投标文件进行审查，检查投标文件是否符合招标文件中规定的形式要求，如投标文件未符合招标文件中规定的形式要求，则被视为废标；</w:t>
      </w:r>
    </w:p>
    <w:p>
      <w:pPr>
        <w:snapToGrid w:val="0"/>
        <w:spacing w:line="360" w:lineRule="auto"/>
        <w:ind w:firstLine="482" w:firstLineChars="200"/>
        <w:rPr>
          <w:b/>
          <w:sz w:val="24"/>
        </w:rPr>
      </w:pPr>
      <w:r>
        <w:rPr>
          <w:b/>
          <w:sz w:val="24"/>
        </w:rPr>
        <w:t xml:space="preserve">3、发生下列情况之一者，视为无效投标： </w:t>
      </w:r>
    </w:p>
    <w:p>
      <w:pPr>
        <w:snapToGrid w:val="0"/>
        <w:spacing w:line="360" w:lineRule="auto"/>
        <w:ind w:firstLine="482" w:firstLineChars="200"/>
        <w:rPr>
          <w:b/>
          <w:sz w:val="24"/>
        </w:rPr>
      </w:pPr>
      <w:r>
        <w:rPr>
          <w:b/>
          <w:sz w:val="24"/>
        </w:rPr>
        <w:t>（1）投标文件未按规定密封和/或投标文件未按规定盖章</w:t>
      </w:r>
      <w:r>
        <w:rPr>
          <w:rFonts w:hint="eastAsia"/>
          <w:b/>
          <w:sz w:val="24"/>
        </w:rPr>
        <w:t>或</w:t>
      </w:r>
      <w:r>
        <w:rPr>
          <w:b/>
          <w:sz w:val="24"/>
        </w:rPr>
        <w:t>签字；</w:t>
      </w:r>
    </w:p>
    <w:p>
      <w:pPr>
        <w:snapToGrid w:val="0"/>
        <w:spacing w:line="360" w:lineRule="auto"/>
        <w:ind w:firstLine="482" w:firstLineChars="200"/>
        <w:rPr>
          <w:b/>
          <w:sz w:val="24"/>
        </w:rPr>
      </w:pPr>
      <w:r>
        <w:rPr>
          <w:b/>
          <w:sz w:val="24"/>
        </w:rPr>
        <w:t>（2）投标文件未按规定格式、内容填写和/或投标文件内容与招标文件有严重背离；</w:t>
      </w:r>
    </w:p>
    <w:p>
      <w:pPr>
        <w:snapToGrid w:val="0"/>
        <w:spacing w:line="360" w:lineRule="auto"/>
        <w:ind w:firstLine="482" w:firstLineChars="200"/>
        <w:rPr>
          <w:b/>
          <w:sz w:val="24"/>
        </w:rPr>
      </w:pPr>
      <w:r>
        <w:rPr>
          <w:b/>
          <w:sz w:val="24"/>
        </w:rPr>
        <w:t>（3）在投标文件中针对同一</w:t>
      </w:r>
      <w:r>
        <w:rPr>
          <w:rFonts w:hint="eastAsia"/>
          <w:b/>
          <w:sz w:val="24"/>
        </w:rPr>
        <w:t>报价要求存在</w:t>
      </w:r>
      <w:r>
        <w:rPr>
          <w:b/>
          <w:sz w:val="24"/>
        </w:rPr>
        <w:t>两个及两个以上的选择性报价；</w:t>
      </w:r>
    </w:p>
    <w:p>
      <w:pPr>
        <w:snapToGrid w:val="0"/>
        <w:spacing w:line="360" w:lineRule="auto"/>
        <w:ind w:firstLine="482" w:firstLineChars="200"/>
        <w:rPr>
          <w:b/>
          <w:sz w:val="24"/>
        </w:rPr>
      </w:pPr>
      <w:r>
        <w:rPr>
          <w:rFonts w:hint="eastAsia"/>
          <w:b/>
          <w:sz w:val="24"/>
        </w:rPr>
        <w:t>（4）不是法人代表或授权代理人递交投标文件；</w:t>
      </w:r>
    </w:p>
    <w:p>
      <w:pPr>
        <w:snapToGrid w:val="0"/>
        <w:spacing w:line="360" w:lineRule="auto"/>
        <w:ind w:firstLine="482" w:firstLineChars="200"/>
        <w:rPr>
          <w:b/>
          <w:sz w:val="24"/>
        </w:rPr>
      </w:pPr>
      <w:r>
        <w:rPr>
          <w:rFonts w:hint="eastAsia"/>
          <w:b/>
          <w:sz w:val="24"/>
        </w:rPr>
        <w:t>（5）未按</w:t>
      </w:r>
      <w:r>
        <w:rPr>
          <w:b/>
          <w:sz w:val="24"/>
        </w:rPr>
        <w:t>招标文件要求</w:t>
      </w:r>
      <w:r>
        <w:rPr>
          <w:rFonts w:hint="eastAsia"/>
          <w:b/>
          <w:sz w:val="24"/>
        </w:rPr>
        <w:t>制作投标文件</w:t>
      </w:r>
      <w:r>
        <w:rPr>
          <w:b/>
          <w:sz w:val="24"/>
        </w:rPr>
        <w:t>；</w:t>
      </w:r>
    </w:p>
    <w:p>
      <w:pPr>
        <w:snapToGrid w:val="0"/>
        <w:spacing w:line="360" w:lineRule="auto"/>
        <w:ind w:firstLine="480" w:firstLineChars="200"/>
        <w:rPr>
          <w:sz w:val="24"/>
        </w:rPr>
      </w:pPr>
      <w:r>
        <w:rPr>
          <w:sz w:val="24"/>
        </w:rPr>
        <w:t>4、投标文件澄清</w:t>
      </w:r>
    </w:p>
    <w:p>
      <w:pPr>
        <w:snapToGrid w:val="0"/>
        <w:spacing w:line="360" w:lineRule="auto"/>
        <w:ind w:firstLine="484" w:firstLineChars="202"/>
        <w:rPr>
          <w:sz w:val="24"/>
        </w:rPr>
      </w:pPr>
      <w:r>
        <w:rPr>
          <w:sz w:val="24"/>
        </w:rPr>
        <w:t>开标以后，招标</w:t>
      </w:r>
      <w:r>
        <w:rPr>
          <w:rFonts w:hint="eastAsia"/>
          <w:sz w:val="24"/>
        </w:rPr>
        <w:t>人</w:t>
      </w:r>
      <w:r>
        <w:rPr>
          <w:sz w:val="24"/>
        </w:rPr>
        <w:t>可针对投标文件的内容要求各投标人澄清。由招标</w:t>
      </w:r>
      <w:r>
        <w:rPr>
          <w:rFonts w:hint="eastAsia"/>
          <w:sz w:val="24"/>
        </w:rPr>
        <w:t>人</w:t>
      </w:r>
      <w:r>
        <w:rPr>
          <w:sz w:val="24"/>
        </w:rPr>
        <w:t>提出的需要澄清的问题，投标</w:t>
      </w:r>
      <w:r>
        <w:rPr>
          <w:rFonts w:hint="eastAsia"/>
          <w:sz w:val="24"/>
        </w:rPr>
        <w:t>人</w:t>
      </w:r>
      <w:r>
        <w:rPr>
          <w:sz w:val="24"/>
        </w:rPr>
        <w:t>应整理出书面资料（有投标代表签字或投标人公章、日期等）提交给招标人，形成投标文件的有效补充。投标文件澄清时间、形式待另行通知。</w:t>
      </w:r>
    </w:p>
    <w:p>
      <w:pPr>
        <w:snapToGrid w:val="0"/>
        <w:spacing w:line="360" w:lineRule="auto"/>
        <w:ind w:firstLine="484" w:firstLineChars="202"/>
        <w:rPr>
          <w:sz w:val="24"/>
        </w:rPr>
      </w:pPr>
    </w:p>
    <w:p>
      <w:pPr>
        <w:pStyle w:val="6"/>
        <w:snapToGrid w:val="0"/>
        <w:spacing w:before="120" w:after="120" w:line="360" w:lineRule="auto"/>
        <w:jc w:val="center"/>
        <w:rPr>
          <w:sz w:val="28"/>
          <w:szCs w:val="28"/>
        </w:rPr>
      </w:pPr>
      <w:bookmarkStart w:id="189" w:name="_Toc6198"/>
      <w:bookmarkStart w:id="190" w:name="_Toc12251"/>
      <w:bookmarkStart w:id="191" w:name="_Toc20374"/>
      <w:bookmarkStart w:id="192" w:name="_Toc27664"/>
      <w:bookmarkStart w:id="193" w:name="_Toc31342"/>
      <w:bookmarkStart w:id="194" w:name="_Toc1141"/>
      <w:bookmarkStart w:id="195" w:name="_Toc26191"/>
      <w:bookmarkStart w:id="196" w:name="_Toc19232"/>
      <w:bookmarkStart w:id="197" w:name="_Toc18178"/>
      <w:bookmarkStart w:id="198" w:name="_Toc16417"/>
      <w:bookmarkStart w:id="199" w:name="_Toc27302"/>
      <w:bookmarkStart w:id="200" w:name="_Toc4139"/>
      <w:bookmarkStart w:id="201" w:name="_Toc27748"/>
      <w:bookmarkStart w:id="202" w:name="_Toc4991"/>
      <w:bookmarkStart w:id="203" w:name="_Toc30368"/>
      <w:bookmarkStart w:id="204" w:name="_Toc21840"/>
      <w:bookmarkStart w:id="205" w:name="_Toc14864"/>
      <w:bookmarkStart w:id="206" w:name="_Toc2181"/>
      <w:bookmarkStart w:id="207" w:name="_Toc20549"/>
      <w:bookmarkStart w:id="208" w:name="_Toc20350"/>
      <w:bookmarkStart w:id="209" w:name="_Toc2118"/>
      <w:r>
        <w:rPr>
          <w:sz w:val="28"/>
          <w:szCs w:val="28"/>
        </w:rPr>
        <w:t>七、评标</w:t>
      </w:r>
      <w:r>
        <w:rPr>
          <w:rFonts w:hint="eastAsia"/>
          <w:sz w:val="28"/>
          <w:szCs w:val="28"/>
        </w:rPr>
        <w:t>、定标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napToGrid w:val="0"/>
        <w:spacing w:line="360" w:lineRule="auto"/>
        <w:ind w:firstLine="480" w:firstLineChars="200"/>
        <w:rPr>
          <w:sz w:val="24"/>
        </w:rPr>
      </w:pPr>
      <w:r>
        <w:rPr>
          <w:sz w:val="24"/>
        </w:rPr>
        <w:t>（二十</w:t>
      </w:r>
      <w:r>
        <w:rPr>
          <w:rFonts w:hint="eastAsia"/>
          <w:sz w:val="24"/>
        </w:rPr>
        <w:t>一</w:t>
      </w:r>
      <w:r>
        <w:rPr>
          <w:sz w:val="24"/>
        </w:rPr>
        <w:t>）评标</w:t>
      </w:r>
    </w:p>
    <w:p>
      <w:pPr>
        <w:snapToGrid w:val="0"/>
        <w:spacing w:line="360" w:lineRule="auto"/>
        <w:ind w:firstLine="480" w:firstLineChars="200"/>
        <w:rPr>
          <w:sz w:val="24"/>
        </w:rPr>
      </w:pPr>
      <w:r>
        <w:rPr>
          <w:sz w:val="24"/>
        </w:rPr>
        <w:t>具体参见“第五部分 评标办法”。</w:t>
      </w:r>
      <w:r>
        <w:rPr>
          <w:rFonts w:hint="eastAsia"/>
          <w:sz w:val="24"/>
        </w:rPr>
        <w:t>如有效投效人不足三家时，评标工作直接按竞争性谈判继续进行。</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（二十</w:t>
      </w:r>
      <w:r>
        <w:rPr>
          <w:rFonts w:hint="eastAsia"/>
          <w:sz w:val="24"/>
        </w:rPr>
        <w:t>二</w:t>
      </w:r>
      <w:r>
        <w:rPr>
          <w:sz w:val="24"/>
        </w:rPr>
        <w:t>）谈判候选人</w:t>
      </w:r>
    </w:p>
    <w:p>
      <w:pPr>
        <w:snapToGrid w:val="0"/>
        <w:spacing w:line="360" w:lineRule="auto"/>
        <w:ind w:firstLine="480" w:firstLineChars="200"/>
        <w:rPr>
          <w:sz w:val="24"/>
        </w:rPr>
      </w:pPr>
      <w:r>
        <w:rPr>
          <w:sz w:val="24"/>
        </w:rPr>
        <w:t>评标委员会将根据评标结果向招标人</w:t>
      </w:r>
      <w:r>
        <w:rPr>
          <w:rFonts w:hint="eastAsia"/>
          <w:sz w:val="24"/>
        </w:rPr>
        <w:t>推荐</w:t>
      </w:r>
      <w:r>
        <w:rPr>
          <w:sz w:val="24"/>
        </w:rPr>
        <w:t>保险谈判候选人（候选人应满足具备独家承保或首席承保的能力和意愿的基本条件）。</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（二十</w:t>
      </w:r>
      <w:r>
        <w:rPr>
          <w:rFonts w:hint="eastAsia"/>
          <w:sz w:val="24"/>
        </w:rPr>
        <w:t>三</w:t>
      </w:r>
      <w:r>
        <w:rPr>
          <w:sz w:val="24"/>
        </w:rPr>
        <w:t>）保险谈判</w:t>
      </w:r>
    </w:p>
    <w:p>
      <w:pPr>
        <w:snapToGrid w:val="0"/>
        <w:spacing w:line="360" w:lineRule="auto"/>
        <w:ind w:firstLine="480" w:firstLineChars="200"/>
        <w:rPr>
          <w:sz w:val="24"/>
        </w:rPr>
      </w:pPr>
      <w:r>
        <w:rPr>
          <w:rFonts w:hint="eastAsia"/>
          <w:sz w:val="24"/>
        </w:rPr>
        <w:t>谈判候选人</w:t>
      </w:r>
      <w:r>
        <w:rPr>
          <w:sz w:val="24"/>
        </w:rPr>
        <w:t>必须在通知的时间内</w:t>
      </w:r>
      <w:r>
        <w:rPr>
          <w:rFonts w:hint="eastAsia"/>
          <w:sz w:val="24"/>
        </w:rPr>
        <w:t>回复谈判内容</w:t>
      </w:r>
      <w:r>
        <w:rPr>
          <w:sz w:val="24"/>
        </w:rPr>
        <w:t>。</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（二十</w:t>
      </w:r>
      <w:r>
        <w:rPr>
          <w:rFonts w:hint="eastAsia"/>
          <w:sz w:val="24"/>
        </w:rPr>
        <w:t>四</w:t>
      </w:r>
      <w:r>
        <w:rPr>
          <w:sz w:val="24"/>
        </w:rPr>
        <w:t>）中标</w:t>
      </w:r>
    </w:p>
    <w:p>
      <w:pPr>
        <w:snapToGrid w:val="0"/>
        <w:spacing w:line="360" w:lineRule="auto"/>
        <w:ind w:firstLine="480" w:firstLineChars="200"/>
        <w:rPr>
          <w:sz w:val="24"/>
        </w:rPr>
      </w:pPr>
      <w:r>
        <w:rPr>
          <w:sz w:val="24"/>
        </w:rPr>
        <w:t>1、招标人将根据各单位投标文件及最终保险谈判结果，确定中标人；</w:t>
      </w:r>
      <w:r>
        <w:rPr>
          <w:b/>
          <w:sz w:val="24"/>
        </w:rPr>
        <w:t>若招标人认为所有投标及谈判结果均不能满足要求，招标人有权不确定中标人，则本次招标失败，招标人有权重新招标</w:t>
      </w:r>
      <w:r>
        <w:rPr>
          <w:rFonts w:hint="eastAsia"/>
          <w:b/>
          <w:sz w:val="24"/>
        </w:rPr>
        <w:t>；</w:t>
      </w:r>
    </w:p>
    <w:p>
      <w:pPr>
        <w:snapToGrid w:val="0"/>
        <w:spacing w:line="360" w:lineRule="auto"/>
        <w:ind w:firstLine="482" w:firstLineChars="200"/>
        <w:rPr>
          <w:b/>
          <w:sz w:val="24"/>
        </w:rPr>
      </w:pPr>
      <w:r>
        <w:rPr>
          <w:b/>
          <w:sz w:val="24"/>
        </w:rPr>
        <w:t>2、中标形式</w:t>
      </w:r>
      <w:r>
        <w:rPr>
          <w:rFonts w:hint="eastAsia"/>
          <w:b/>
          <w:sz w:val="24"/>
        </w:rPr>
        <w:t>为独家</w:t>
      </w:r>
      <w:r>
        <w:rPr>
          <w:rFonts w:hint="eastAsia"/>
          <w:b/>
          <w:sz w:val="24"/>
          <w:lang w:val="en-US" w:eastAsia="zh-CN"/>
        </w:rPr>
        <w:t>承保</w:t>
      </w:r>
      <w:r>
        <w:rPr>
          <w:rFonts w:hint="eastAsia"/>
          <w:b/>
          <w:sz w:val="24"/>
        </w:rPr>
        <w:t>；</w:t>
      </w:r>
    </w:p>
    <w:p>
      <w:pPr>
        <w:snapToGrid w:val="0"/>
        <w:spacing w:line="360" w:lineRule="auto"/>
        <w:ind w:firstLine="480" w:firstLineChars="200"/>
        <w:rPr>
          <w:sz w:val="24"/>
        </w:rPr>
      </w:pPr>
      <w:r>
        <w:rPr>
          <w:sz w:val="24"/>
        </w:rPr>
        <w:t>3、招标人将以《中标通知书》形式通知中标的投标人，并在该通知中说明中标形式和条件、下一步工作计划与要求等内容；</w:t>
      </w:r>
    </w:p>
    <w:p>
      <w:pPr>
        <w:snapToGrid w:val="0"/>
        <w:spacing w:line="360" w:lineRule="auto"/>
        <w:ind w:firstLine="480" w:firstLineChars="200"/>
        <w:rPr>
          <w:sz w:val="24"/>
        </w:rPr>
      </w:pPr>
      <w:r>
        <w:rPr>
          <w:sz w:val="24"/>
        </w:rPr>
        <w:t>4、中标人必须在接到《中标通知书》后24小时之内以书面形式反馈确认；</w:t>
      </w:r>
    </w:p>
    <w:p>
      <w:pPr>
        <w:snapToGrid w:val="0"/>
        <w:spacing w:line="360" w:lineRule="auto"/>
        <w:ind w:firstLine="480" w:firstLineChars="200"/>
        <w:rPr>
          <w:sz w:val="24"/>
        </w:rPr>
      </w:pPr>
      <w:r>
        <w:rPr>
          <w:sz w:val="24"/>
        </w:rPr>
        <w:t>5、招标人对未中标人无解释义务；</w:t>
      </w:r>
    </w:p>
    <w:p>
      <w:pPr>
        <w:snapToGrid w:val="0"/>
        <w:spacing w:line="360" w:lineRule="auto"/>
        <w:ind w:firstLine="480" w:firstLineChars="200"/>
        <w:rPr>
          <w:sz w:val="24"/>
        </w:rPr>
      </w:pPr>
      <w:r>
        <w:rPr>
          <w:sz w:val="24"/>
        </w:rPr>
        <w:t>6、中标人一旦被确定，其他未中标人不能再以任何形式影响中标决定。</w:t>
      </w:r>
    </w:p>
    <w:p>
      <w:pPr>
        <w:snapToGrid w:val="0"/>
        <w:spacing w:line="360" w:lineRule="auto"/>
        <w:ind w:firstLine="480" w:firstLineChars="200"/>
        <w:rPr>
          <w:sz w:val="24"/>
        </w:rPr>
      </w:pPr>
    </w:p>
    <w:p>
      <w:pPr>
        <w:pStyle w:val="6"/>
        <w:snapToGrid w:val="0"/>
        <w:spacing w:before="120" w:after="120" w:line="360" w:lineRule="auto"/>
        <w:jc w:val="center"/>
        <w:rPr>
          <w:sz w:val="28"/>
          <w:szCs w:val="28"/>
        </w:rPr>
      </w:pPr>
      <w:bookmarkStart w:id="210" w:name="_Toc14183"/>
      <w:bookmarkStart w:id="211" w:name="_Toc28932"/>
      <w:bookmarkStart w:id="212" w:name="_Toc1081"/>
      <w:bookmarkStart w:id="213" w:name="_Toc13518"/>
      <w:bookmarkStart w:id="214" w:name="_Toc7457"/>
      <w:bookmarkStart w:id="215" w:name="_Toc28734"/>
      <w:bookmarkStart w:id="216" w:name="_Toc26441"/>
      <w:bookmarkStart w:id="217" w:name="_Toc18935"/>
      <w:bookmarkStart w:id="218" w:name="_Toc11215"/>
      <w:bookmarkStart w:id="219" w:name="_Toc11323"/>
      <w:bookmarkStart w:id="220" w:name="_Toc3768"/>
      <w:bookmarkStart w:id="221" w:name="_Toc18228"/>
      <w:bookmarkStart w:id="222" w:name="_Toc21606"/>
      <w:bookmarkStart w:id="223" w:name="_Toc9271"/>
      <w:bookmarkStart w:id="224" w:name="_Toc25065"/>
      <w:bookmarkStart w:id="225" w:name="_Toc798"/>
      <w:bookmarkStart w:id="226" w:name="_Toc3245"/>
      <w:bookmarkStart w:id="227" w:name="_Toc25312"/>
      <w:bookmarkStart w:id="228" w:name="_Toc27812"/>
      <w:bookmarkStart w:id="229" w:name="_Toc19140"/>
      <w:bookmarkStart w:id="230" w:name="_Toc10119"/>
      <w:r>
        <w:rPr>
          <w:sz w:val="28"/>
          <w:szCs w:val="28"/>
        </w:rPr>
        <w:t>八、授予保险合同</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napToGrid w:val="0"/>
        <w:spacing w:line="360" w:lineRule="auto"/>
        <w:ind w:firstLine="3132" w:firstLineChars="1300"/>
        <w:rPr>
          <w:b/>
          <w:bCs/>
          <w:sz w:val="24"/>
        </w:rPr>
      </w:pPr>
    </w:p>
    <w:p>
      <w:pPr>
        <w:snapToGrid w:val="0"/>
        <w:spacing w:line="360" w:lineRule="auto"/>
        <w:ind w:firstLine="480" w:firstLineChars="200"/>
        <w:rPr>
          <w:sz w:val="24"/>
        </w:rPr>
      </w:pPr>
      <w:r>
        <w:rPr>
          <w:sz w:val="24"/>
        </w:rPr>
        <w:t>（二十</w:t>
      </w:r>
      <w:r>
        <w:rPr>
          <w:rFonts w:hint="eastAsia"/>
          <w:sz w:val="24"/>
        </w:rPr>
        <w:t>五</w:t>
      </w:r>
      <w:r>
        <w:rPr>
          <w:sz w:val="24"/>
        </w:rPr>
        <w:t>）保险协议及最终保险合同的签署</w:t>
      </w:r>
    </w:p>
    <w:p>
      <w:pPr>
        <w:snapToGrid w:val="0"/>
        <w:spacing w:line="360" w:lineRule="auto"/>
        <w:ind w:firstLine="480" w:firstLineChars="200"/>
        <w:rPr>
          <w:sz w:val="24"/>
        </w:rPr>
      </w:pPr>
      <w:r>
        <w:rPr>
          <w:sz w:val="24"/>
        </w:rPr>
        <w:t>1、招标人将以《中标通知书》形式通知中标的投标人其投标被接受，并在该通知中说明中标形式、保险合同签署的日期；</w:t>
      </w:r>
    </w:p>
    <w:p>
      <w:pPr>
        <w:snapToGrid w:val="0"/>
        <w:spacing w:line="360" w:lineRule="auto"/>
        <w:ind w:firstLine="480" w:firstLineChars="200"/>
        <w:rPr>
          <w:sz w:val="24"/>
        </w:rPr>
      </w:pPr>
      <w:r>
        <w:rPr>
          <w:sz w:val="24"/>
        </w:rPr>
        <w:t>2、中标</w:t>
      </w:r>
      <w:r>
        <w:rPr>
          <w:rFonts w:hint="eastAsia"/>
          <w:sz w:val="24"/>
        </w:rPr>
        <w:t>人</w:t>
      </w:r>
      <w:r>
        <w:rPr>
          <w:sz w:val="24"/>
        </w:rPr>
        <w:t>为多个时，中标</w:t>
      </w:r>
      <w:r>
        <w:rPr>
          <w:rFonts w:hint="eastAsia"/>
          <w:sz w:val="24"/>
        </w:rPr>
        <w:t>人</w:t>
      </w:r>
      <w:r>
        <w:rPr>
          <w:sz w:val="24"/>
        </w:rPr>
        <w:t>必须在接到《中标通知书》后24小时之内以书面</w:t>
      </w:r>
      <w:r>
        <w:rPr>
          <w:rFonts w:hint="eastAsia"/>
          <w:sz w:val="24"/>
        </w:rPr>
        <w:t>形式反馈确认，否则将失去中标资格</w:t>
      </w:r>
      <w:r>
        <w:rPr>
          <w:sz w:val="24"/>
        </w:rPr>
        <w:t>；</w:t>
      </w:r>
    </w:p>
    <w:p>
      <w:pPr>
        <w:snapToGrid w:val="0"/>
        <w:spacing w:line="360" w:lineRule="auto"/>
        <w:ind w:firstLine="480" w:firstLineChars="200"/>
        <w:rPr>
          <w:sz w:val="24"/>
        </w:rPr>
      </w:pPr>
      <w:r>
        <w:rPr>
          <w:sz w:val="24"/>
        </w:rPr>
        <w:t>3、在双方进行相关文件准备工作完成后，由招标人与中标</w:t>
      </w:r>
      <w:r>
        <w:rPr>
          <w:rFonts w:hint="eastAsia"/>
          <w:sz w:val="24"/>
        </w:rPr>
        <w:t>人</w:t>
      </w:r>
      <w:r>
        <w:rPr>
          <w:sz w:val="24"/>
        </w:rPr>
        <w:t>签订《保险协议》，招、投标文件及有效的补充资料、通知、函件、纪要等将成为该保险协议的基础组成部分，中标</w:t>
      </w:r>
      <w:r>
        <w:rPr>
          <w:rFonts w:hint="eastAsia"/>
          <w:sz w:val="24"/>
        </w:rPr>
        <w:t>人</w:t>
      </w:r>
      <w:r>
        <w:rPr>
          <w:sz w:val="24"/>
        </w:rPr>
        <w:t>按规定及时为招标人出具正式保险单；</w:t>
      </w:r>
    </w:p>
    <w:p>
      <w:pPr>
        <w:snapToGrid w:val="0"/>
        <w:spacing w:line="360" w:lineRule="auto"/>
        <w:ind w:firstLine="480" w:firstLineChars="200"/>
        <w:rPr>
          <w:sz w:val="24"/>
        </w:rPr>
      </w:pPr>
      <w:r>
        <w:rPr>
          <w:sz w:val="24"/>
        </w:rPr>
        <w:t>4、如果中标</w:t>
      </w:r>
      <w:r>
        <w:rPr>
          <w:rFonts w:hint="eastAsia"/>
          <w:sz w:val="24"/>
        </w:rPr>
        <w:t>人</w:t>
      </w:r>
      <w:r>
        <w:rPr>
          <w:sz w:val="24"/>
        </w:rPr>
        <w:t>不按上述规定执行，招标人有权撤消授标。</w:t>
      </w:r>
    </w:p>
    <w:p>
      <w:pPr>
        <w:pStyle w:val="5"/>
        <w:snapToGrid w:val="0"/>
        <w:spacing w:before="120" w:after="120" w:line="240" w:lineRule="auto"/>
        <w:jc w:val="center"/>
        <w:rPr>
          <w:rFonts w:ascii="Times New Roman" w:hAnsi="Times New Roman" w:eastAsia="宋体"/>
          <w:snapToGrid w:val="0"/>
        </w:rPr>
      </w:pPr>
      <w:r>
        <w:rPr>
          <w:rFonts w:ascii="Times New Roman" w:hAnsi="Times New Roman"/>
          <w:sz w:val="28"/>
        </w:rPr>
        <w:br w:type="page"/>
      </w:r>
      <w:bookmarkStart w:id="231" w:name="_Toc8959"/>
      <w:bookmarkStart w:id="232" w:name="_Toc30505"/>
      <w:bookmarkStart w:id="233" w:name="_Toc26751"/>
      <w:bookmarkStart w:id="234" w:name="_Toc9768"/>
      <w:bookmarkStart w:id="235" w:name="_Toc12398"/>
      <w:bookmarkStart w:id="236" w:name="_Toc3426"/>
      <w:bookmarkStart w:id="237" w:name="_Toc20393"/>
      <w:bookmarkStart w:id="238" w:name="_Toc25786"/>
      <w:bookmarkStart w:id="239" w:name="_Toc30937"/>
      <w:bookmarkStart w:id="240" w:name="_Toc10296"/>
      <w:bookmarkStart w:id="241" w:name="_Toc30968"/>
      <w:bookmarkStart w:id="242" w:name="_Toc5336"/>
      <w:bookmarkStart w:id="243" w:name="_Toc3378"/>
      <w:bookmarkStart w:id="244" w:name="_Toc10036"/>
      <w:bookmarkStart w:id="245" w:name="_Toc27853"/>
      <w:bookmarkStart w:id="246" w:name="_Toc12695"/>
      <w:bookmarkStart w:id="247" w:name="_Toc16188"/>
      <w:bookmarkStart w:id="248" w:name="_Toc15373"/>
      <w:bookmarkStart w:id="249" w:name="_Toc7633"/>
      <w:bookmarkStart w:id="250" w:name="_Toc26134"/>
      <w:bookmarkStart w:id="251" w:name="_Toc16784"/>
      <w:r>
        <w:rPr>
          <w:rFonts w:ascii="Times New Roman" w:hAnsi="宋体" w:eastAsia="宋体"/>
          <w:snapToGrid w:val="0"/>
        </w:rPr>
        <w:t>第三</w:t>
      </w:r>
      <w:r>
        <w:rPr>
          <w:rFonts w:ascii="Times New Roman" w:hAnsi="Times New Roman" w:eastAsia="宋体"/>
          <w:snapToGrid w:val="0"/>
        </w:rPr>
        <w:t>部分  保险合同条款</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pStyle w:val="6"/>
        <w:numPr>
          <w:ilvl w:val="0"/>
          <w:numId w:val="3"/>
        </w:numPr>
        <w:snapToGrid w:val="0"/>
        <w:spacing w:before="120" w:after="120" w:line="360" w:lineRule="auto"/>
        <w:jc w:val="left"/>
        <w:rPr>
          <w:sz w:val="28"/>
          <w:szCs w:val="28"/>
        </w:rPr>
      </w:pPr>
      <w:bookmarkStart w:id="252" w:name="_Toc11423"/>
      <w:bookmarkStart w:id="253" w:name="_Toc4923"/>
      <w:bookmarkStart w:id="254" w:name="_Toc32298"/>
      <w:bookmarkStart w:id="255" w:name="_Toc12083"/>
      <w:bookmarkStart w:id="256" w:name="_Toc31199"/>
      <w:bookmarkStart w:id="257" w:name="_Toc15431"/>
      <w:bookmarkStart w:id="258" w:name="_Toc8312"/>
      <w:bookmarkStart w:id="259" w:name="_Toc1693"/>
      <w:bookmarkStart w:id="260" w:name="_Toc6003"/>
      <w:bookmarkStart w:id="261" w:name="_Toc20381"/>
      <w:bookmarkStart w:id="262" w:name="_Toc25217"/>
      <w:bookmarkStart w:id="263" w:name="_Toc31727"/>
      <w:bookmarkStart w:id="264" w:name="_Toc24357"/>
      <w:bookmarkStart w:id="265" w:name="_Toc12830"/>
      <w:bookmarkStart w:id="266" w:name="_Toc31820"/>
      <w:bookmarkStart w:id="267" w:name="_Toc4613"/>
      <w:bookmarkStart w:id="268" w:name="_Toc28549"/>
      <w:r>
        <w:rPr>
          <w:sz w:val="28"/>
          <w:szCs w:val="28"/>
        </w:rPr>
        <w:t>保险方案及条款明细</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pStyle w:val="4"/>
        <w:spacing w:before="260" w:after="260" w:line="240" w:lineRule="auto"/>
        <w:jc w:val="center"/>
        <w:rPr>
          <w:rFonts w:ascii="宋体" w:hAnsi="宋体" w:cs="宋体"/>
          <w:sz w:val="28"/>
          <w:szCs w:val="28"/>
        </w:rPr>
      </w:pPr>
      <w:bookmarkStart w:id="269" w:name="_Toc325706364"/>
      <w:bookmarkStart w:id="270" w:name="_Toc325973614"/>
      <w:r>
        <w:rPr>
          <w:rFonts w:hint="eastAsia" w:ascii="宋体" w:hAnsi="宋体" w:cs="宋体"/>
          <w:sz w:val="28"/>
          <w:szCs w:val="28"/>
        </w:rPr>
        <w:t>一、财产综合险</w:t>
      </w:r>
      <w:bookmarkEnd w:id="269"/>
      <w:bookmarkEnd w:id="270"/>
      <w:r>
        <w:rPr>
          <w:rFonts w:hint="eastAsia" w:ascii="宋体" w:hAnsi="宋体" w:cs="宋体"/>
          <w:sz w:val="28"/>
          <w:szCs w:val="28"/>
        </w:rPr>
        <w:t>保险方案</w:t>
      </w:r>
    </w:p>
    <w:p>
      <w:pPr>
        <w:pStyle w:val="5"/>
        <w:rPr>
          <w:rFonts w:ascii="宋体" w:hAnsi="宋体" w:eastAsia="宋体" w:cs="宋体"/>
        </w:rPr>
      </w:pPr>
      <w:bookmarkStart w:id="271" w:name="_Toc325973615"/>
      <w:r>
        <w:rPr>
          <w:rFonts w:hint="eastAsia" w:ascii="宋体" w:hAnsi="宋体" w:eastAsia="宋体" w:cs="宋体"/>
        </w:rPr>
        <w:t>（一）保单明细表</w:t>
      </w:r>
      <w:bookmarkEnd w:id="271"/>
    </w:p>
    <w:tbl>
      <w:tblPr>
        <w:tblStyle w:val="24"/>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8"/>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4" w:space="0"/>
            </w:tcBorders>
            <w:shd w:val="clear" w:color="auto" w:fill="8DB3E2"/>
          </w:tcPr>
          <w:p>
            <w:pPr>
              <w:snapToGrid w:val="0"/>
              <w:spacing w:line="360" w:lineRule="auto"/>
              <w:jc w:val="center"/>
              <w:rPr>
                <w:rFonts w:ascii="宋体" w:hAnsi="宋体" w:cs="宋体"/>
                <w:b/>
                <w:szCs w:val="21"/>
              </w:rPr>
            </w:pPr>
            <w:r>
              <w:rPr>
                <w:rFonts w:hint="eastAsia" w:ascii="宋体" w:hAnsi="宋体" w:cs="宋体"/>
                <w:b/>
                <w:szCs w:val="21"/>
              </w:rPr>
              <w:t>保险明细表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一、投保人名称和地址：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518"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投保人名称：</w:t>
            </w:r>
          </w:p>
        </w:tc>
        <w:tc>
          <w:tcPr>
            <w:tcW w:w="4998" w:type="dxa"/>
            <w:tcBorders>
              <w:right w:val="single" w:color="auto" w:sz="8" w:space="0"/>
            </w:tcBorders>
            <w:shd w:val="clear" w:color="auto" w:fill="auto"/>
            <w:vAlign w:val="center"/>
          </w:tcPr>
          <w:p>
            <w:pPr>
              <w:snapToGrid w:val="0"/>
              <w:spacing w:line="360" w:lineRule="auto"/>
              <w:rPr>
                <w:rFonts w:ascii="宋体" w:hAnsi="宋体" w:cs="宋体"/>
                <w:szCs w:val="21"/>
              </w:rPr>
            </w:pPr>
            <w:r>
              <w:rPr>
                <w:rFonts w:hint="eastAsia" w:ascii="宋体" w:hAnsi="宋体" w:cs="宋体"/>
                <w:szCs w:val="21"/>
              </w:rPr>
              <w:t>江苏大生集团有限公司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518"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投保人地址：</w:t>
            </w:r>
          </w:p>
        </w:tc>
        <w:tc>
          <w:tcPr>
            <w:tcW w:w="4998" w:type="dxa"/>
            <w:tcBorders>
              <w:right w:val="single" w:color="auto" w:sz="8" w:space="0"/>
            </w:tcBorders>
            <w:shd w:val="clear" w:color="auto" w:fill="auto"/>
            <w:vAlign w:val="center"/>
          </w:tcPr>
          <w:p>
            <w:pPr>
              <w:snapToGrid w:val="0"/>
              <w:spacing w:line="360" w:lineRule="auto"/>
              <w:rPr>
                <w:rFonts w:ascii="宋体" w:hAnsi="宋体" w:cs="宋体"/>
                <w:szCs w:val="21"/>
              </w:rPr>
            </w:pPr>
            <w:r>
              <w:rPr>
                <w:rFonts w:hint="eastAsia" w:ascii="宋体" w:hAnsi="宋体" w:cs="宋体"/>
                <w:szCs w:val="21"/>
              </w:rPr>
              <w:t>南通市唐闸南市街14号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二、被保险人名称和地址：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szCs w:val="21"/>
              </w:rPr>
            </w:pPr>
            <w:r>
              <w:rPr>
                <w:rFonts w:hint="eastAsia" w:ascii="宋体" w:hAnsi="宋体" w:cs="宋体"/>
                <w:szCs w:val="21"/>
              </w:rPr>
              <w:t>被保险人名称：</w:t>
            </w:r>
          </w:p>
        </w:tc>
        <w:tc>
          <w:tcPr>
            <w:tcW w:w="4998" w:type="dxa"/>
            <w:tcBorders>
              <w:right w:val="single" w:color="auto" w:sz="8" w:space="0"/>
            </w:tcBorders>
            <w:shd w:val="clear" w:color="auto" w:fill="auto"/>
          </w:tcPr>
          <w:p>
            <w:pPr>
              <w:snapToGrid w:val="0"/>
              <w:spacing w:line="360" w:lineRule="auto"/>
              <w:rPr>
                <w:rFonts w:hint="eastAsia" w:ascii="宋体" w:hAnsi="宋体" w:cs="宋体"/>
                <w:bCs/>
                <w:szCs w:val="21"/>
                <w:lang w:eastAsia="zh-CN"/>
              </w:rPr>
            </w:pPr>
            <w:r>
              <w:rPr>
                <w:rFonts w:hint="eastAsia" w:ascii="宋体" w:hAnsi="宋体" w:cs="宋体"/>
                <w:bCs/>
                <w:szCs w:val="21"/>
              </w:rPr>
              <w:t>大生纺织（合肥）有限公司</w:t>
            </w:r>
            <w:r>
              <w:rPr>
                <w:rFonts w:hint="eastAsia" w:ascii="宋体" w:hAnsi="宋体" w:cs="宋体"/>
                <w:bCs/>
                <w:szCs w:val="21"/>
                <w:lang w:eastAsia="zh-CN"/>
              </w:rPr>
              <w:t>、</w:t>
            </w:r>
          </w:p>
          <w:p>
            <w:pPr>
              <w:pStyle w:val="2"/>
              <w:rPr>
                <w:rFonts w:hint="eastAsia"/>
                <w:lang w:eastAsia="zh-CN"/>
              </w:rPr>
            </w:pPr>
            <w:r>
              <w:rPr>
                <w:rFonts w:hint="eastAsia"/>
                <w:lang w:eastAsia="zh-CN"/>
              </w:rPr>
              <w:t>滨州大生纺织有限公司、</w:t>
            </w:r>
          </w:p>
          <w:p>
            <w:pPr>
              <w:pStyle w:val="2"/>
              <w:rPr>
                <w:rFonts w:hint="eastAsia"/>
                <w:lang w:eastAsia="zh-CN"/>
              </w:rPr>
            </w:pPr>
            <w:r>
              <w:rPr>
                <w:rFonts w:hint="eastAsia"/>
                <w:lang w:eastAsia="zh-CN"/>
              </w:rPr>
              <w:t>聊城大生纺织有限公司、</w:t>
            </w:r>
          </w:p>
          <w:p>
            <w:pPr>
              <w:pStyle w:val="2"/>
              <w:rPr>
                <w:rFonts w:ascii="宋体" w:hAnsi="宋体" w:cs="宋体"/>
                <w:bCs/>
                <w:szCs w:val="21"/>
              </w:rPr>
            </w:pPr>
            <w:r>
              <w:rPr>
                <w:rFonts w:hint="eastAsia"/>
                <w:lang w:eastAsia="zh-CN"/>
              </w:rPr>
              <w:t>及相关利益方，以各自保险</w:t>
            </w:r>
            <w:r>
              <w:rPr>
                <w:rFonts w:hint="eastAsia" w:ascii="宋体" w:hAnsi="宋体" w:cs="宋体"/>
                <w:bCs/>
                <w:szCs w:val="21"/>
              </w:rPr>
              <w:t>利益为限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被保险人地址：</w:t>
            </w:r>
          </w:p>
        </w:tc>
        <w:tc>
          <w:tcPr>
            <w:tcW w:w="4998" w:type="dxa"/>
            <w:tcBorders>
              <w:right w:val="single" w:color="auto" w:sz="8" w:space="0"/>
            </w:tcBorders>
            <w:shd w:val="clear" w:color="auto" w:fill="auto"/>
            <w:vAlign w:val="center"/>
          </w:tcPr>
          <w:p>
            <w:pPr>
              <w:rPr>
                <w:rFonts w:hint="eastAsia"/>
                <w:lang w:eastAsia="zh-CN"/>
              </w:rPr>
            </w:pPr>
            <w:r>
              <w:rPr>
                <w:rFonts w:hint="eastAsia"/>
              </w:rPr>
              <w:t>安徽省合肥市莲花路2888号大生纺织（合肥）有限公司</w:t>
            </w:r>
            <w:r>
              <w:rPr>
                <w:rFonts w:hint="eastAsia"/>
                <w:lang w:eastAsia="zh-CN"/>
              </w:rPr>
              <w:t>、</w:t>
            </w:r>
          </w:p>
          <w:p>
            <w:pPr>
              <w:pStyle w:val="2"/>
              <w:rPr>
                <w:rFonts w:hint="eastAsia"/>
                <w:lang w:eastAsia="zh-CN"/>
              </w:rPr>
            </w:pPr>
            <w:r>
              <w:rPr>
                <w:rFonts w:hint="eastAsia"/>
                <w:lang w:eastAsia="zh-CN"/>
              </w:rPr>
              <w:t>山东省滨州市滨城区黄河二路555号、</w:t>
            </w:r>
          </w:p>
          <w:p>
            <w:pPr>
              <w:pStyle w:val="2"/>
              <w:rPr>
                <w:rFonts w:hint="eastAsia"/>
                <w:lang w:eastAsia="zh-CN"/>
              </w:rPr>
            </w:pPr>
            <w:r>
              <w:rPr>
                <w:rFonts w:hint="eastAsia"/>
                <w:lang w:eastAsia="zh-CN"/>
              </w:rPr>
              <w:t>山东省聊城市经济技术开发区辽河路22号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三、营业性质：</w:t>
            </w:r>
          </w:p>
        </w:tc>
        <w:tc>
          <w:tcPr>
            <w:tcW w:w="4998" w:type="dxa"/>
            <w:tcBorders>
              <w:right w:val="single" w:color="auto" w:sz="8" w:space="0"/>
            </w:tcBorders>
            <w:shd w:val="clear" w:color="auto" w:fill="auto"/>
          </w:tcPr>
          <w:p>
            <w:pPr>
              <w:snapToGrid w:val="0"/>
              <w:spacing w:line="360" w:lineRule="auto"/>
              <w:rPr>
                <w:rFonts w:ascii="宋体" w:hAnsi="宋体" w:cs="宋体"/>
                <w:b/>
                <w:bCs/>
                <w:i/>
                <w:sz w:val="32"/>
                <w:szCs w:val="21"/>
              </w:rPr>
            </w:pPr>
            <w:r>
              <w:rPr>
                <w:rFonts w:hint="eastAsia" w:ascii="宋体" w:hAnsi="宋体" w:cs="宋体"/>
                <w:bCs/>
                <w:szCs w:val="21"/>
              </w:rPr>
              <w:t>纺织品生产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四、保险财产地址：</w:t>
            </w:r>
          </w:p>
        </w:tc>
        <w:tc>
          <w:tcPr>
            <w:tcW w:w="4998" w:type="dxa"/>
            <w:tcBorders>
              <w:right w:val="single" w:color="auto" w:sz="8" w:space="0"/>
            </w:tcBorders>
            <w:shd w:val="clear" w:color="auto" w:fill="auto"/>
          </w:tcPr>
          <w:p>
            <w:pPr>
              <w:rPr>
                <w:rFonts w:hint="eastAsia"/>
                <w:lang w:eastAsia="zh-CN"/>
              </w:rPr>
            </w:pPr>
            <w:r>
              <w:rPr>
                <w:rFonts w:hint="eastAsia"/>
              </w:rPr>
              <w:t>安徽省合肥市莲花路2888号大生纺织（合肥）有限公司</w:t>
            </w:r>
            <w:r>
              <w:rPr>
                <w:rFonts w:hint="eastAsia"/>
                <w:lang w:eastAsia="zh-CN"/>
              </w:rPr>
              <w:t>、</w:t>
            </w:r>
          </w:p>
          <w:p>
            <w:pPr>
              <w:pStyle w:val="2"/>
              <w:rPr>
                <w:rFonts w:hint="default"/>
                <w:lang w:val="en-US" w:eastAsia="zh-CN"/>
              </w:rPr>
            </w:pPr>
            <w:r>
              <w:rPr>
                <w:rFonts w:hint="eastAsia"/>
                <w:lang w:eastAsia="zh-CN"/>
              </w:rPr>
              <w:t>山东省滨州市滨城区黄河二路555号、</w:t>
            </w:r>
            <w:r>
              <w:rPr>
                <w:rFonts w:hint="eastAsia"/>
                <w:lang w:val="en-US" w:eastAsia="zh-CN"/>
              </w:rPr>
              <w:t>另外租仓库地址：诚泰国际货运代理(上海)有限公司佛山分公司(佛山市禅城区五峰三路佛山口岸大楼保税仓库D座二楼和2FA1区），</w:t>
            </w:r>
          </w:p>
          <w:p>
            <w:pPr>
              <w:rPr>
                <w:rFonts w:hint="default"/>
                <w:lang w:val="en-US" w:eastAsia="zh-CN"/>
              </w:rPr>
            </w:pPr>
            <w:r>
              <w:rPr>
                <w:rFonts w:hint="eastAsia"/>
                <w:lang w:eastAsia="zh-CN"/>
              </w:rPr>
              <w:t>山东省聊城市经济技术开发区辽河路22号、</w:t>
            </w:r>
            <w:r>
              <w:rPr>
                <w:rFonts w:hint="eastAsia"/>
                <w:lang w:val="en-US" w:eastAsia="zh-CN"/>
              </w:rPr>
              <w:t>另外租仓库地址：中山市三角镇高平工业区福泽路16号、江苏省南通市港闸区大生路1号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五、保险价值：</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存货/仓储物类财产按照出险时的账面余额确定，</w:t>
            </w:r>
          </w:p>
          <w:p>
            <w:pPr>
              <w:snapToGrid w:val="0"/>
              <w:spacing w:line="360" w:lineRule="auto"/>
              <w:rPr>
                <w:rFonts w:ascii="宋体" w:hAnsi="宋体" w:cs="宋体"/>
                <w:b/>
                <w:szCs w:val="21"/>
              </w:rPr>
            </w:pPr>
            <w:r>
              <w:rPr>
                <w:rFonts w:hint="eastAsia" w:ascii="宋体" w:hAnsi="宋体" w:cs="宋体"/>
                <w:szCs w:val="21"/>
              </w:rPr>
              <w:t>其他资产按照出险时的重置价值确定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六、保险标的与保险金额：（各公司的资产详见明细）（最终保险金额以</w:t>
            </w:r>
            <w:r>
              <w:rPr>
                <w:rFonts w:hint="eastAsia" w:ascii="宋体" w:hAnsi="宋体" w:cs="宋体"/>
                <w:b/>
                <w:szCs w:val="21"/>
                <w:lang w:val="en-US" w:eastAsia="zh-CN"/>
              </w:rPr>
              <w:t>7</w:t>
            </w:r>
            <w:r>
              <w:rPr>
                <w:rFonts w:hint="eastAsia" w:ascii="宋体" w:hAnsi="宋体" w:cs="宋体"/>
                <w:b/>
                <w:szCs w:val="21"/>
              </w:rPr>
              <w:t>月的期末数为准）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right w:val="single" w:color="auto" w:sz="8" w:space="0"/>
            </w:tcBorders>
            <w:shd w:val="clear" w:color="auto" w:fill="auto"/>
          </w:tcPr>
          <w:p>
            <w:pPr>
              <w:snapToGrid w:val="0"/>
              <w:spacing w:line="360" w:lineRule="auto"/>
              <w:rPr>
                <w:rFonts w:hint="default" w:ascii="宋体" w:hAnsi="宋体" w:eastAsia="宋体" w:cs="宋体"/>
                <w:b/>
                <w:szCs w:val="21"/>
                <w:lang w:val="en-US" w:eastAsia="zh-CN"/>
              </w:rPr>
            </w:pPr>
            <w:r>
              <w:rPr>
                <w:rFonts w:hint="eastAsia" w:ascii="宋体" w:hAnsi="宋体" w:cs="宋体"/>
                <w:b/>
                <w:szCs w:val="21"/>
              </w:rPr>
              <w:t>固定资产</w:t>
            </w:r>
            <w:r>
              <w:rPr>
                <w:rFonts w:hint="eastAsia" w:ascii="宋体" w:hAnsi="宋体" w:cs="宋体"/>
                <w:b/>
                <w:szCs w:val="21"/>
                <w:lang w:eastAsia="zh-CN"/>
              </w:rPr>
              <w:t>（</w:t>
            </w:r>
            <w:r>
              <w:rPr>
                <w:rFonts w:hint="eastAsia" w:ascii="宋体" w:hAnsi="宋体" w:cs="宋体"/>
                <w:b/>
                <w:szCs w:val="21"/>
                <w:lang w:val="en-US" w:eastAsia="zh-CN"/>
              </w:rPr>
              <w:t>包含但不限于房屋及建筑物、装饰装修、办公用品、机器设备等）</w:t>
            </w:r>
          </w:p>
        </w:tc>
        <w:tc>
          <w:tcPr>
            <w:tcW w:w="4998" w:type="dxa"/>
            <w:tcBorders>
              <w:right w:val="single" w:color="auto" w:sz="8" w:space="0"/>
            </w:tcBorders>
            <w:shd w:val="clear" w:color="auto" w:fill="auto"/>
          </w:tcPr>
          <w:p>
            <w:pPr>
              <w:snapToGrid w:val="0"/>
              <w:spacing w:line="360" w:lineRule="auto"/>
              <w:rPr>
                <w:rFonts w:hint="default" w:ascii="宋体" w:hAnsi="宋体" w:eastAsia="宋体" w:cs="宋体"/>
                <w:b/>
                <w:bCs/>
                <w:szCs w:val="21"/>
                <w:lang w:val="en-US" w:eastAsia="zh-CN"/>
              </w:rPr>
            </w:pPr>
            <w:r>
              <w:rPr>
                <w:rFonts w:hint="eastAsia" w:ascii="宋体" w:hAnsi="宋体" w:cs="宋体"/>
                <w:szCs w:val="21"/>
              </w:rPr>
              <w:t>RMB</w:t>
            </w:r>
            <w:r>
              <w:rPr>
                <w:rFonts w:hint="eastAsia" w:ascii="宋体" w:hAnsi="宋体" w:cs="宋体"/>
                <w:szCs w:val="21"/>
                <w:lang w:val="en-US" w:eastAsia="zh-CN"/>
              </w:rPr>
              <w:t>1,614,040,986.02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8" w:type="dxa"/>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存货</w:t>
            </w:r>
          </w:p>
        </w:tc>
        <w:tc>
          <w:tcPr>
            <w:tcW w:w="4998" w:type="dxa"/>
            <w:tcBorders>
              <w:right w:val="single" w:color="auto" w:sz="8" w:space="0"/>
            </w:tcBorders>
            <w:shd w:val="clear" w:color="auto" w:fill="auto"/>
          </w:tcPr>
          <w:p>
            <w:pPr>
              <w:snapToGrid w:val="0"/>
              <w:spacing w:line="360" w:lineRule="auto"/>
              <w:rPr>
                <w:rFonts w:hint="default" w:ascii="宋体" w:hAnsi="宋体" w:eastAsia="宋体" w:cs="宋体"/>
                <w:b/>
                <w:bCs/>
                <w:szCs w:val="21"/>
                <w:lang w:val="en-US" w:eastAsia="zh-CN"/>
              </w:rPr>
            </w:pPr>
            <w:r>
              <w:rPr>
                <w:rFonts w:hint="eastAsia" w:ascii="宋体" w:hAnsi="宋体" w:cs="宋体"/>
                <w:szCs w:val="21"/>
              </w:rPr>
              <w:t>RMB</w:t>
            </w:r>
            <w:r>
              <w:rPr>
                <w:rFonts w:hint="eastAsia" w:ascii="宋体" w:hAnsi="宋体" w:cs="宋体"/>
                <w:szCs w:val="21"/>
                <w:lang w:val="en-US" w:eastAsia="zh-CN"/>
              </w:rPr>
              <w:t>198,061,043.88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在建工程</w:t>
            </w:r>
          </w:p>
        </w:tc>
        <w:tc>
          <w:tcPr>
            <w:tcW w:w="4998" w:type="dxa"/>
            <w:tcBorders>
              <w:right w:val="single" w:color="auto" w:sz="8" w:space="0"/>
            </w:tcBorders>
            <w:shd w:val="clear" w:color="auto" w:fill="auto"/>
          </w:tcPr>
          <w:p>
            <w:pPr>
              <w:snapToGrid w:val="0"/>
              <w:spacing w:line="360" w:lineRule="auto"/>
              <w:rPr>
                <w:rFonts w:hint="default" w:ascii="宋体" w:hAnsi="宋体" w:eastAsia="宋体" w:cs="宋体"/>
                <w:b/>
                <w:bCs/>
                <w:szCs w:val="21"/>
                <w:lang w:val="en-US" w:eastAsia="zh-CN"/>
              </w:rPr>
            </w:pPr>
            <w:r>
              <w:rPr>
                <w:rFonts w:hint="eastAsia" w:ascii="宋体" w:hAnsi="宋体" w:cs="宋体"/>
                <w:szCs w:val="21"/>
              </w:rPr>
              <w:t>RMB</w:t>
            </w:r>
            <w:r>
              <w:rPr>
                <w:rFonts w:hint="eastAsia" w:ascii="宋体" w:hAnsi="宋体" w:cs="宋体"/>
                <w:szCs w:val="21"/>
                <w:lang w:val="en-US" w:eastAsia="zh-CN"/>
              </w:rPr>
              <w:t>3,324,463.75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保险金额：</w:t>
            </w:r>
          </w:p>
        </w:tc>
        <w:tc>
          <w:tcPr>
            <w:tcW w:w="4998" w:type="dxa"/>
            <w:tcBorders>
              <w:right w:val="single" w:color="auto" w:sz="8" w:space="0"/>
            </w:tcBorders>
            <w:shd w:val="clear" w:color="auto" w:fill="auto"/>
          </w:tcPr>
          <w:p>
            <w:pPr>
              <w:snapToGrid w:val="0"/>
              <w:spacing w:line="360" w:lineRule="auto"/>
              <w:rPr>
                <w:rFonts w:hint="default" w:ascii="宋体" w:hAnsi="宋体" w:eastAsia="宋体" w:cs="宋体"/>
                <w:b/>
                <w:szCs w:val="21"/>
                <w:lang w:val="en-US" w:eastAsia="zh-CN"/>
              </w:rPr>
            </w:pPr>
            <w:r>
              <w:rPr>
                <w:rFonts w:hint="eastAsia" w:ascii="宋体" w:hAnsi="宋体" w:cs="宋体"/>
                <w:b/>
                <w:szCs w:val="21"/>
              </w:rPr>
              <w:t>RMB</w:t>
            </w:r>
            <w:r>
              <w:rPr>
                <w:rFonts w:hint="eastAsia" w:ascii="宋体" w:hAnsi="宋体" w:cs="宋体"/>
                <w:b/>
                <w:szCs w:val="21"/>
                <w:lang w:val="en-US" w:eastAsia="zh-CN"/>
              </w:rPr>
              <w:t>1,815,426,493.65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七、免赔额或免赔率：</w:t>
            </w:r>
          </w:p>
        </w:tc>
        <w:tc>
          <w:tcPr>
            <w:tcW w:w="4998" w:type="dxa"/>
            <w:tcBorders>
              <w:right w:val="single" w:color="auto" w:sz="8" w:space="0"/>
            </w:tcBorders>
            <w:shd w:val="clear" w:color="auto" w:fill="auto"/>
          </w:tcPr>
          <w:p>
            <w:pPr>
              <w:adjustRightInd w:val="0"/>
              <w:snapToGrid w:val="0"/>
              <w:spacing w:line="360" w:lineRule="auto"/>
              <w:rPr>
                <w:rFonts w:ascii="宋体" w:hAnsi="宋体" w:cs="宋体"/>
                <w:szCs w:val="21"/>
                <w:highlight w:val="yellow"/>
              </w:rPr>
            </w:pPr>
            <w:r>
              <w:rPr>
                <w:rFonts w:hint="eastAsia" w:ascii="宋体" w:hAnsi="宋体" w:cs="宋体"/>
                <w:szCs w:val="21"/>
              </w:rPr>
              <w:t>每次事故绝对免赔额为1000元或损失金额的10%，两者以高者为准。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八、保险期限：</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12个月，自202</w:t>
            </w:r>
            <w:r>
              <w:rPr>
                <w:rFonts w:hint="eastAsia" w:ascii="宋体" w:hAnsi="宋体" w:cs="宋体"/>
                <w:szCs w:val="21"/>
                <w:lang w:val="en-US" w:eastAsia="zh-CN"/>
              </w:rPr>
              <w:t>3</w:t>
            </w:r>
            <w:r>
              <w:rPr>
                <w:rFonts w:hint="eastAsia" w:ascii="宋体" w:hAnsi="宋体" w:cs="宋体"/>
                <w:szCs w:val="21"/>
              </w:rPr>
              <w:t>年0</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01</w:t>
            </w:r>
            <w:r>
              <w:rPr>
                <w:rFonts w:hint="eastAsia" w:ascii="宋体" w:hAnsi="宋体" w:cs="宋体"/>
                <w:szCs w:val="21"/>
              </w:rPr>
              <w:t>日0:00时起至202</w:t>
            </w:r>
            <w:r>
              <w:rPr>
                <w:rFonts w:hint="eastAsia" w:ascii="宋体" w:hAnsi="宋体" w:cs="宋体"/>
                <w:szCs w:val="21"/>
                <w:lang w:val="en-US" w:eastAsia="zh-CN"/>
              </w:rPr>
              <w:t>4</w:t>
            </w:r>
            <w:r>
              <w:rPr>
                <w:rFonts w:hint="eastAsia" w:ascii="宋体" w:hAnsi="宋体" w:cs="宋体"/>
                <w:szCs w:val="21"/>
              </w:rPr>
              <w:t>年0</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31</w:t>
            </w:r>
            <w:r>
              <w:rPr>
                <w:rFonts w:hint="eastAsia" w:ascii="宋体" w:hAnsi="宋体" w:cs="宋体"/>
                <w:szCs w:val="21"/>
              </w:rPr>
              <w:t>日24:00时止。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518" w:type="dxa"/>
            <w:shd w:val="clear" w:color="auto" w:fill="auto"/>
          </w:tcPr>
          <w:p>
            <w:pPr>
              <w:snapToGrid w:val="0"/>
              <w:spacing w:line="360" w:lineRule="auto"/>
              <w:rPr>
                <w:rFonts w:ascii="宋体" w:hAnsi="宋体" w:cs="宋体"/>
                <w:b/>
                <w:color w:val="000000"/>
                <w:szCs w:val="21"/>
              </w:rPr>
            </w:pPr>
            <w:r>
              <w:rPr>
                <w:rFonts w:hint="eastAsia" w:ascii="宋体" w:hAnsi="宋体" w:cs="宋体"/>
                <w:b/>
                <w:color w:val="000000"/>
                <w:szCs w:val="21"/>
              </w:rPr>
              <w:t>九、保险费率：</w:t>
            </w:r>
          </w:p>
        </w:tc>
        <w:tc>
          <w:tcPr>
            <w:tcW w:w="4998" w:type="dxa"/>
            <w:tcBorders>
              <w:right w:val="single" w:color="auto" w:sz="8" w:space="0"/>
            </w:tcBorders>
            <w:shd w:val="clear" w:color="auto" w:fill="auto"/>
          </w:tcPr>
          <w:p>
            <w:pPr>
              <w:snapToGrid w:val="0"/>
              <w:spacing w:line="360" w:lineRule="auto"/>
              <w:rPr>
                <w:rFonts w:ascii="宋体" w:hAnsi="宋体" w:cs="宋体"/>
                <w:color w:val="000000"/>
                <w:szCs w:val="21"/>
                <w:u w:val="single"/>
              </w:rPr>
            </w:pPr>
            <w:r>
              <w:rPr>
                <w:rFonts w:hint="eastAsia" w:ascii="宋体" w:hAnsi="宋体" w:cs="宋体"/>
                <w:szCs w:val="21"/>
              </w:rPr>
              <w:t>待保险公司报价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518" w:type="dxa"/>
            <w:shd w:val="clear" w:color="auto" w:fill="auto"/>
          </w:tcPr>
          <w:p>
            <w:pPr>
              <w:snapToGrid w:val="0"/>
              <w:spacing w:line="360" w:lineRule="auto"/>
              <w:rPr>
                <w:rFonts w:ascii="宋体" w:hAnsi="宋体" w:cs="宋体"/>
                <w:b/>
                <w:color w:val="000000"/>
                <w:szCs w:val="21"/>
              </w:rPr>
            </w:pPr>
            <w:r>
              <w:rPr>
                <w:rFonts w:hint="eastAsia" w:ascii="宋体" w:hAnsi="宋体" w:cs="宋体"/>
                <w:b/>
                <w:color w:val="000000"/>
                <w:szCs w:val="21"/>
              </w:rPr>
              <w:t>十、保险费：</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待保险公司报价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十一、付费日期：</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kern w:val="0"/>
                <w:szCs w:val="21"/>
              </w:rPr>
              <w:t>投保人于保单生效后三十日内向保险公司指定帐户支付保费，保费款项自投保人账户划出即视为保费支付的履行</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十二、司法管辖：</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中华人民共和国司法管辖（不包含港澳台地区）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vAlign w:val="center"/>
          </w:tcPr>
          <w:p>
            <w:pPr>
              <w:snapToGrid w:val="0"/>
              <w:spacing w:line="360" w:lineRule="auto"/>
              <w:rPr>
                <w:rFonts w:ascii="宋体" w:hAnsi="宋体" w:cs="宋体"/>
                <w:b/>
                <w:szCs w:val="21"/>
              </w:rPr>
            </w:pPr>
            <w:r>
              <w:rPr>
                <w:rFonts w:hint="eastAsia" w:ascii="宋体" w:hAnsi="宋体" w:cs="宋体"/>
                <w:b/>
                <w:szCs w:val="21"/>
              </w:rPr>
              <w:t>十三、基本条款：</w:t>
            </w:r>
          </w:p>
        </w:tc>
        <w:tc>
          <w:tcPr>
            <w:tcW w:w="4998" w:type="dxa"/>
            <w:tcBorders>
              <w:right w:val="single" w:color="auto" w:sz="8" w:space="0"/>
            </w:tcBorders>
            <w:shd w:val="clear" w:color="auto" w:fill="auto"/>
            <w:vAlign w:val="center"/>
          </w:tcPr>
          <w:p>
            <w:pPr>
              <w:snapToGrid w:val="0"/>
              <w:spacing w:line="360" w:lineRule="auto"/>
              <w:rPr>
                <w:rFonts w:ascii="宋体" w:hAnsi="宋体" w:cs="宋体"/>
                <w:szCs w:val="21"/>
              </w:rPr>
            </w:pPr>
            <w:r>
              <w:rPr>
                <w:rFonts w:hint="eastAsia" w:ascii="宋体" w:hAnsi="宋体" w:cs="宋体"/>
                <w:szCs w:val="21"/>
              </w:rPr>
              <w:t>财产综合险条款（2009版）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98" w:type="dxa"/>
          <w:trHeight w:val="409" w:hRule="atLeast"/>
          <w:jc w:val="center"/>
        </w:trPr>
        <w:tc>
          <w:tcPr>
            <w:tcW w:w="3518" w:type="dxa"/>
            <w:vMerge w:val="restart"/>
          </w:tcPr>
          <w:p>
            <w:pPr>
              <w:snapToGrid w:val="0"/>
              <w:spacing w:line="360" w:lineRule="auto"/>
              <w:rPr>
                <w:rFonts w:ascii="宋体" w:hAnsi="宋体" w:cs="宋体"/>
                <w:b/>
                <w:szCs w:val="21"/>
              </w:rPr>
            </w:pPr>
            <w:r>
              <w:rPr>
                <w:rFonts w:hint="eastAsia" w:ascii="宋体" w:hAnsi="宋体" w:cs="宋体"/>
                <w:b/>
                <w:szCs w:val="21"/>
              </w:rPr>
              <w:t>十四、附加条款：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盗窃、抢劫扩展条款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罢工、暴乱及民众骚乱扩展条款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恐怖活动扩展条款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供应中断扩展条款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虫蛀、鼠咬损失扩展条款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自燃扩展条款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霉变条款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锅炉、压力容器扩展条款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建筑物外部附属设施扩展条款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露天存放及简易建筑内财产扩展条款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便携式设备扩展条款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恶意破坏扩展条款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烟熏扩展条款/烟损条款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自动喷淋系统水损扩展条款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水箱、水管爆裂条款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建筑物变动条款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碰撞扩展条款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存货变质条款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流动机械扩展条款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清理残骸费用扩展条款（限额：保险金额的10%）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专业费用扩展条款（限额：保险金额的10%）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特别费用扩展条款（限额：保险金额的10%）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空运费扩展条款（限额：保险金额的10%）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灭火费用扩展条款（限额：保险金额的10%）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索赔费用条款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公共当局扩展条款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临时保护措施扩展条款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重新安装费用条款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车辆装载物扩展条款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临时移动扩展条款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内陆运输扩展条款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自动承保新地址与未指明仓储地址条款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增加资产扩展条款（限额：保险金额的10%）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在建工程（含保险期内新增工程）扩展条款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85％扩展条款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放弃代位追偿扩展条款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仓储财产申报条款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自动恢复保险金额条款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重置价值条款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错误和遗漏条款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不受控制条款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不使失效条款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违反条件条款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时间调整条款（72小时）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指定公估人条款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预付赔款条款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索赔单据条款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紧急抢险条款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50/50条款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租赁财产条款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bCs/>
                <w:sz w:val="32"/>
                <w:szCs w:val="21"/>
              </w:rPr>
            </w:pPr>
            <w:r>
              <w:rPr>
                <w:rFonts w:hint="eastAsia" w:ascii="宋体" w:hAnsi="宋体" w:cs="宋体"/>
                <w:b/>
                <w:szCs w:val="21"/>
              </w:rPr>
              <w:t>十五、特别约定：</w:t>
            </w:r>
          </w:p>
        </w:tc>
        <w:tc>
          <w:tcPr>
            <w:tcW w:w="4998" w:type="dxa"/>
            <w:tcBorders>
              <w:bottom w:val="single" w:color="auto" w:sz="4" w:space="0"/>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rPr>
              <w:t>1.本</w:t>
            </w:r>
            <w:r>
              <w:rPr>
                <w:rFonts w:hint="eastAsia" w:ascii="宋体" w:hAnsi="宋体" w:cs="宋体"/>
                <w:szCs w:val="21"/>
              </w:rPr>
              <w:t>保单中各项固定资产的保险金额按照投保时的帐面原值确定，保险公司视为按照重置价值足额投保，出险后不进行比例赔偿。</w:t>
            </w:r>
          </w:p>
          <w:p>
            <w:pPr>
              <w:pStyle w:val="8"/>
              <w:snapToGrid w:val="0"/>
              <w:spacing w:line="360" w:lineRule="auto"/>
              <w:ind w:firstLine="0"/>
              <w:rPr>
                <w:rFonts w:ascii="宋体" w:hAnsi="宋体" w:cs="宋体"/>
                <w:szCs w:val="21"/>
              </w:rPr>
            </w:pPr>
            <w:r>
              <w:rPr>
                <w:rFonts w:hint="eastAsia" w:ascii="宋体" w:hAnsi="宋体" w:cs="宋体"/>
                <w:szCs w:val="21"/>
              </w:rPr>
              <w:t>2.本保单中对于在建工程，按投保时的帐面原值确定，及预计的工程预算或工程合同价投保，本公司认同为足额投保。</w:t>
            </w:r>
          </w:p>
          <w:p>
            <w:pPr>
              <w:pStyle w:val="8"/>
              <w:snapToGrid w:val="0"/>
              <w:spacing w:line="360" w:lineRule="auto"/>
              <w:ind w:firstLine="0"/>
              <w:rPr>
                <w:rFonts w:ascii="宋体" w:hAnsi="宋体" w:cs="宋体"/>
                <w:szCs w:val="21"/>
              </w:rPr>
            </w:pPr>
            <w:r>
              <w:rPr>
                <w:rFonts w:hint="eastAsia" w:ascii="宋体" w:hAnsi="宋体" w:cs="宋体"/>
                <w:szCs w:val="21"/>
              </w:rPr>
              <w:t>3.兹经双方同意，被保险人已支付的本保险单明细表中列明的存货/仓储财产的保险费为预付保险费，保险人将根据本条款有关规定进行调整。</w:t>
            </w:r>
          </w:p>
          <w:p>
            <w:pPr>
              <w:pStyle w:val="46"/>
              <w:snapToGrid w:val="0"/>
              <w:spacing w:line="360" w:lineRule="auto"/>
              <w:ind w:firstLine="0" w:firstLineChars="0"/>
              <w:rPr>
                <w:rFonts w:ascii="宋体" w:hAnsi="宋体" w:cs="宋体"/>
                <w:szCs w:val="21"/>
              </w:rPr>
            </w:pPr>
            <w:r>
              <w:rPr>
                <w:rFonts w:hint="eastAsia" w:ascii="宋体" w:hAnsi="宋体" w:cs="宋体"/>
                <w:szCs w:val="21"/>
              </w:rPr>
              <w:t>1）被保险人应在每季度结束后30天内向保险人申报该季度每月最后一天的库存价值，若被保险人没有按期申报，本保险单明细表中列明的保险金额将被视作存货/仓储财产的申报金额。</w:t>
            </w:r>
          </w:p>
          <w:p>
            <w:pPr>
              <w:pStyle w:val="46"/>
              <w:snapToGrid w:val="0"/>
              <w:spacing w:line="360" w:lineRule="auto"/>
              <w:ind w:firstLine="0" w:firstLineChars="0"/>
              <w:rPr>
                <w:rFonts w:ascii="宋体" w:hAnsi="宋体" w:cs="宋体"/>
                <w:szCs w:val="21"/>
              </w:rPr>
            </w:pPr>
            <w:r>
              <w:rPr>
                <w:rFonts w:hint="eastAsia" w:ascii="宋体" w:hAnsi="宋体" w:cs="宋体"/>
                <w:szCs w:val="21"/>
              </w:rPr>
              <w:t>2）若发生损失，本公司按出险时被保险存货/仓储财产实际库存价值赔偿。两次申报之间出险时，被保险人需核实实际存货/仓储财产价值，补齐保额及保费后不再比例赔付。</w:t>
            </w:r>
          </w:p>
          <w:p>
            <w:pPr>
              <w:pStyle w:val="46"/>
              <w:snapToGrid w:val="0"/>
              <w:spacing w:line="360" w:lineRule="auto"/>
              <w:ind w:firstLine="0" w:firstLineChars="0"/>
              <w:rPr>
                <w:rFonts w:ascii="宋体" w:hAnsi="宋体" w:cs="宋体"/>
                <w:szCs w:val="21"/>
              </w:rPr>
            </w:pPr>
            <w:r>
              <w:rPr>
                <w:rFonts w:hint="eastAsia" w:ascii="宋体" w:hAnsi="宋体" w:cs="宋体"/>
                <w:szCs w:val="21"/>
              </w:rPr>
              <w:t>3）本保险项下的预付保险费在本保险单生效时按保险金额的 100 %计收，本保险单终止时，保险费将根据申报库存价值的平均数作调整，多退少补，但退还的保险费不得超过预付保险费的 50 %。</w:t>
            </w:r>
          </w:p>
          <w:p>
            <w:pPr>
              <w:snapToGrid w:val="0"/>
              <w:spacing w:line="360" w:lineRule="auto"/>
              <w:rPr>
                <w:rFonts w:ascii="宋体" w:hAnsi="宋体" w:cs="宋体"/>
                <w:szCs w:val="21"/>
              </w:rPr>
            </w:pPr>
            <w:r>
              <w:rPr>
                <w:rFonts w:hint="eastAsia" w:ascii="宋体" w:hAnsi="宋体" w:cs="宋体"/>
                <w:szCs w:val="21"/>
              </w:rPr>
              <w:t>4.兹经双方同意，本保险单扩展承保保险财产在被用作灭火或阻止灾害向保险财产蔓延的活动中造成的财产损失。</w:t>
            </w:r>
          </w:p>
          <w:p>
            <w:pPr>
              <w:pStyle w:val="2"/>
              <w:spacing w:line="360" w:lineRule="auto"/>
              <w:rPr>
                <w:rFonts w:ascii="宋体" w:hAnsi="宋体" w:cs="宋体"/>
              </w:rPr>
            </w:pPr>
            <w:r>
              <w:rPr>
                <w:rFonts w:hint="eastAsia" w:ascii="宋体" w:hAnsi="宋体" w:cs="宋体"/>
                <w:szCs w:val="21"/>
              </w:rPr>
              <w:t>5.无论本保单项下的投保金额是否指定，保险人同意将本保险单项下的保额固定为人民币，所有的保险费、损失赔款都以人民币支付。当在本保险单的保险期限内发生货币转换时，其所用汇率应该是中华人民共和国当天官方外汇市场上的收盘价，而且计算和支付保费的汇率应该是保单生效之日的汇率或任何随后批单生效日的汇率。赔款汇率应该是损失发生当日的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其他</w:t>
            </w:r>
          </w:p>
        </w:tc>
        <w:tc>
          <w:tcPr>
            <w:tcW w:w="4998"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sz w:val="18"/>
                <w:szCs w:val="21"/>
              </w:rPr>
            </w:pPr>
            <w:r>
              <w:rPr>
                <w:rFonts w:hint="eastAsia" w:ascii="宋体" w:hAnsi="宋体" w:cs="宋体"/>
                <w:szCs w:val="21"/>
              </w:rPr>
              <w:t>本保险单中，特别约定的效力高于附加条款，附加条款的效力高于基本条款</w:t>
            </w:r>
          </w:p>
        </w:tc>
      </w:tr>
    </w:tbl>
    <w:p>
      <w:pPr>
        <w:spacing w:line="360" w:lineRule="auto"/>
        <w:jc w:val="center"/>
        <w:rPr>
          <w:rFonts w:ascii="宋体" w:hAnsi="宋体" w:cs="宋体"/>
          <w:b/>
          <w:sz w:val="24"/>
          <w:szCs w:val="24"/>
        </w:rPr>
        <w:sectPr>
          <w:footerReference r:id="rId10" w:type="default"/>
          <w:pgSz w:w="11906" w:h="16838"/>
          <w:pgMar w:top="1440" w:right="1797" w:bottom="1440" w:left="1797" w:header="851" w:footer="992" w:gutter="0"/>
          <w:cols w:space="0" w:num="1"/>
          <w:docGrid w:linePitch="312" w:charSpace="0"/>
        </w:sectPr>
      </w:pPr>
    </w:p>
    <w:p>
      <w:pPr>
        <w:pStyle w:val="5"/>
        <w:rPr>
          <w:rFonts w:ascii="宋体" w:hAnsi="宋体" w:eastAsia="宋体" w:cs="宋体"/>
          <w:sz w:val="28"/>
          <w:szCs w:val="28"/>
        </w:rPr>
      </w:pPr>
      <w:bookmarkStart w:id="272" w:name="_Toc325973616"/>
      <w:r>
        <w:rPr>
          <w:rFonts w:hint="eastAsia" w:ascii="宋体" w:hAnsi="宋体" w:eastAsia="宋体" w:cs="宋体"/>
          <w:sz w:val="28"/>
          <w:szCs w:val="28"/>
        </w:rPr>
        <w:t>（二）保险条款</w:t>
      </w:r>
      <w:bookmarkEnd w:id="272"/>
    </w:p>
    <w:p>
      <w:pPr>
        <w:pStyle w:val="5"/>
        <w:spacing w:after="156" w:afterLines="50" w:line="240" w:lineRule="auto"/>
        <w:jc w:val="center"/>
        <w:rPr>
          <w:rFonts w:ascii="宋体" w:hAnsi="宋体" w:eastAsia="宋体" w:cs="宋体"/>
          <w:sz w:val="24"/>
          <w:szCs w:val="24"/>
        </w:rPr>
      </w:pPr>
      <w:r>
        <w:rPr>
          <w:rFonts w:hint="eastAsia" w:ascii="宋体" w:hAnsi="宋体" w:eastAsia="宋体" w:cs="宋体"/>
          <w:sz w:val="24"/>
          <w:szCs w:val="24"/>
        </w:rPr>
        <w:t>财产综合险条款（2009版）</w:t>
      </w:r>
    </w:p>
    <w:p>
      <w:pPr>
        <w:pStyle w:val="2"/>
        <w:spacing w:after="156" w:afterLines="50"/>
        <w:ind w:firstLine="480"/>
        <w:rPr>
          <w:rFonts w:ascii="宋体" w:hAnsi="宋体" w:cs="宋体"/>
          <w:sz w:val="24"/>
        </w:rPr>
      </w:pPr>
    </w:p>
    <w:p>
      <w:pPr>
        <w:spacing w:after="156" w:afterLines="50"/>
        <w:jc w:val="center"/>
        <w:rPr>
          <w:rFonts w:ascii="宋体" w:hAnsi="宋体" w:cs="宋体"/>
          <w:b/>
          <w:bCs/>
          <w:sz w:val="24"/>
          <w:szCs w:val="24"/>
        </w:rPr>
      </w:pPr>
      <w:bookmarkStart w:id="273" w:name="总则"/>
      <w:r>
        <w:rPr>
          <w:rFonts w:hint="eastAsia" w:ascii="宋体" w:hAnsi="宋体" w:cs="宋体"/>
          <w:b/>
          <w:bCs/>
          <w:sz w:val="24"/>
          <w:szCs w:val="24"/>
        </w:rPr>
        <w:t>总则</w:t>
      </w:r>
      <w:bookmarkEnd w:id="273"/>
    </w:p>
    <w:p>
      <w:pPr>
        <w:spacing w:after="156" w:afterLines="50"/>
        <w:ind w:firstLine="479" w:firstLineChars="199"/>
        <w:rPr>
          <w:rFonts w:ascii="宋体" w:hAnsi="宋体" w:cs="宋体"/>
          <w:sz w:val="24"/>
          <w:szCs w:val="24"/>
        </w:rPr>
      </w:pPr>
      <w:r>
        <w:rPr>
          <w:rFonts w:hint="eastAsia" w:ascii="宋体" w:hAnsi="宋体" w:cs="宋体"/>
          <w:b/>
          <w:sz w:val="24"/>
          <w:szCs w:val="24"/>
        </w:rPr>
        <w:t>第一条</w:t>
      </w:r>
      <w:r>
        <w:rPr>
          <w:rFonts w:hint="eastAsia" w:ascii="宋体" w:hAnsi="宋体" w:cs="宋体"/>
          <w:sz w:val="24"/>
          <w:szCs w:val="24"/>
        </w:rPr>
        <w:t xml:space="preserve">  本保险合同由保险条款、投保单、保险单或其他保险凭证以及批单组成。凡涉及本保险合同的约定，均应采用书面形式。</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保险标的</w:t>
      </w:r>
    </w:p>
    <w:p>
      <w:pPr>
        <w:spacing w:after="156" w:afterLines="50"/>
        <w:ind w:firstLine="453" w:firstLineChars="188"/>
        <w:rPr>
          <w:rFonts w:ascii="宋体" w:hAnsi="宋体" w:cs="宋体"/>
          <w:sz w:val="24"/>
          <w:szCs w:val="24"/>
        </w:rPr>
      </w:pPr>
      <w:r>
        <w:rPr>
          <w:rFonts w:hint="eastAsia" w:ascii="宋体" w:hAnsi="宋体" w:cs="宋体"/>
          <w:b/>
          <w:sz w:val="24"/>
          <w:szCs w:val="24"/>
        </w:rPr>
        <w:t>第二条</w:t>
      </w:r>
      <w:r>
        <w:rPr>
          <w:rFonts w:hint="eastAsia" w:ascii="宋体" w:hAnsi="宋体" w:cs="宋体"/>
          <w:sz w:val="24"/>
          <w:szCs w:val="24"/>
        </w:rPr>
        <w:t xml:space="preserve">  本保险合同载明地址内的下列财产可作为保险标的：</w:t>
      </w:r>
    </w:p>
    <w:p>
      <w:pPr>
        <w:spacing w:after="156" w:afterLines="50"/>
        <w:ind w:firstLine="451" w:firstLineChars="188"/>
        <w:rPr>
          <w:rFonts w:ascii="宋体" w:hAnsi="宋体" w:cs="宋体"/>
          <w:sz w:val="24"/>
          <w:szCs w:val="24"/>
        </w:rPr>
      </w:pPr>
      <w:r>
        <w:rPr>
          <w:rFonts w:hint="eastAsia" w:ascii="宋体" w:hAnsi="宋体" w:cs="宋体"/>
          <w:sz w:val="24"/>
          <w:szCs w:val="24"/>
        </w:rPr>
        <w:t>（一）属于被保险人所有或与他人共有而由被保险人负责的财产；</w:t>
      </w:r>
    </w:p>
    <w:p>
      <w:pPr>
        <w:spacing w:after="156" w:afterLines="50"/>
        <w:ind w:firstLine="451" w:firstLineChars="188"/>
        <w:rPr>
          <w:rFonts w:ascii="宋体" w:hAnsi="宋体" w:cs="宋体"/>
          <w:sz w:val="24"/>
          <w:szCs w:val="24"/>
        </w:rPr>
      </w:pPr>
      <w:r>
        <w:rPr>
          <w:rFonts w:hint="eastAsia" w:ascii="宋体" w:hAnsi="宋体" w:cs="宋体"/>
          <w:sz w:val="24"/>
          <w:szCs w:val="24"/>
        </w:rPr>
        <w:t>（二）由被保险人经营管理或替他人保管的财产；</w:t>
      </w:r>
    </w:p>
    <w:p>
      <w:pPr>
        <w:spacing w:after="156" w:afterLines="50"/>
        <w:ind w:firstLine="451" w:firstLineChars="188"/>
        <w:rPr>
          <w:rFonts w:ascii="宋体" w:hAnsi="宋体" w:cs="宋体"/>
          <w:sz w:val="24"/>
          <w:szCs w:val="24"/>
        </w:rPr>
      </w:pPr>
      <w:r>
        <w:rPr>
          <w:rFonts w:hint="eastAsia" w:ascii="宋体" w:hAnsi="宋体" w:cs="宋体"/>
          <w:sz w:val="24"/>
          <w:szCs w:val="24"/>
        </w:rPr>
        <w:t>（三）其他具有法律上承认的与被保险人有经济利害关系的财产。</w:t>
      </w:r>
    </w:p>
    <w:p>
      <w:pPr>
        <w:spacing w:after="156" w:afterLines="50"/>
        <w:ind w:firstLine="453" w:firstLineChars="188"/>
        <w:rPr>
          <w:rFonts w:ascii="宋体" w:hAnsi="宋体" w:cs="宋体"/>
          <w:sz w:val="24"/>
          <w:szCs w:val="24"/>
        </w:rPr>
      </w:pPr>
      <w:r>
        <w:rPr>
          <w:rFonts w:hint="eastAsia" w:ascii="宋体" w:hAnsi="宋体" w:cs="宋体"/>
          <w:b/>
          <w:sz w:val="24"/>
          <w:szCs w:val="24"/>
        </w:rPr>
        <w:t>第三条</w:t>
      </w:r>
      <w:r>
        <w:rPr>
          <w:rFonts w:hint="eastAsia" w:ascii="宋体" w:hAnsi="宋体" w:cs="宋体"/>
          <w:sz w:val="24"/>
          <w:szCs w:val="24"/>
        </w:rPr>
        <w:t xml:space="preserve">  本保险合同载明地址内的下列财产未经保险合同双方特别约定并在保险合同中载明保险价值的，不属于本保险合同的保险标的：</w:t>
      </w:r>
    </w:p>
    <w:p>
      <w:pPr>
        <w:spacing w:after="156" w:afterLines="50"/>
        <w:ind w:firstLine="451" w:firstLineChars="188"/>
        <w:rPr>
          <w:rFonts w:ascii="宋体" w:hAnsi="宋体" w:cs="宋体"/>
          <w:sz w:val="24"/>
          <w:szCs w:val="24"/>
        </w:rPr>
      </w:pPr>
      <w:r>
        <w:rPr>
          <w:rFonts w:hint="eastAsia" w:ascii="宋体" w:hAnsi="宋体" w:cs="宋体"/>
          <w:sz w:val="24"/>
          <w:szCs w:val="24"/>
        </w:rPr>
        <w:t>（一） 金银、珠宝、钻石、玉器、首饰、古币、古玩、古书、古画、邮票、字画、艺术品、稀有金属等珍贵财物；</w:t>
      </w:r>
    </w:p>
    <w:p>
      <w:pPr>
        <w:spacing w:after="156" w:afterLines="50"/>
        <w:ind w:firstLine="480" w:firstLineChars="200"/>
        <w:rPr>
          <w:rFonts w:ascii="宋体" w:hAnsi="宋体" w:cs="宋体"/>
          <w:sz w:val="24"/>
          <w:szCs w:val="24"/>
        </w:rPr>
      </w:pPr>
      <w:r>
        <w:rPr>
          <w:rFonts w:hint="eastAsia" w:ascii="宋体" w:hAnsi="宋体" w:cs="宋体"/>
          <w:sz w:val="24"/>
          <w:szCs w:val="24"/>
        </w:rPr>
        <w:t>（二）堤堰、水闸、铁路、道路、涵洞、隧道、桥梁、码头；</w:t>
      </w:r>
    </w:p>
    <w:p>
      <w:pPr>
        <w:spacing w:after="156" w:afterLines="50"/>
        <w:ind w:firstLine="480" w:firstLineChars="200"/>
        <w:rPr>
          <w:rFonts w:ascii="宋体" w:hAnsi="宋体" w:cs="宋体"/>
          <w:sz w:val="24"/>
          <w:szCs w:val="24"/>
        </w:rPr>
      </w:pPr>
      <w:r>
        <w:rPr>
          <w:rFonts w:hint="eastAsia" w:ascii="宋体" w:hAnsi="宋体" w:cs="宋体"/>
          <w:sz w:val="24"/>
          <w:szCs w:val="24"/>
        </w:rPr>
        <w:t>（三）矿井（坑）内的设备和物资；</w:t>
      </w:r>
    </w:p>
    <w:p>
      <w:pPr>
        <w:spacing w:after="156" w:afterLines="50"/>
        <w:ind w:firstLine="480" w:firstLineChars="200"/>
        <w:rPr>
          <w:rFonts w:ascii="宋体" w:hAnsi="宋体" w:cs="宋体"/>
          <w:sz w:val="24"/>
          <w:szCs w:val="24"/>
        </w:rPr>
      </w:pPr>
      <w:r>
        <w:rPr>
          <w:rFonts w:hint="eastAsia" w:ascii="宋体" w:hAnsi="宋体" w:cs="宋体"/>
          <w:sz w:val="24"/>
          <w:szCs w:val="24"/>
        </w:rPr>
        <w:t>（四）便携式通讯装置、便携式计算机设备、便携式照相摄像器材以及其他便携式装置、设备；</w:t>
      </w:r>
    </w:p>
    <w:p>
      <w:pPr>
        <w:spacing w:after="156" w:afterLines="50"/>
        <w:ind w:firstLine="480" w:firstLineChars="200"/>
        <w:rPr>
          <w:rFonts w:ascii="宋体" w:hAnsi="宋体" w:cs="宋体"/>
          <w:sz w:val="24"/>
          <w:szCs w:val="24"/>
        </w:rPr>
      </w:pPr>
      <w:r>
        <w:rPr>
          <w:rFonts w:hint="eastAsia" w:ascii="宋体" w:hAnsi="宋体" w:cs="宋体"/>
          <w:sz w:val="24"/>
          <w:szCs w:val="24"/>
        </w:rPr>
        <w:t>（五）尚未交付使用或验收的工程。</w:t>
      </w:r>
    </w:p>
    <w:p>
      <w:pPr>
        <w:spacing w:after="156" w:afterLines="50"/>
        <w:ind w:firstLine="479" w:firstLineChars="199"/>
        <w:rPr>
          <w:rFonts w:ascii="宋体" w:hAnsi="宋体" w:cs="宋体"/>
          <w:sz w:val="24"/>
          <w:szCs w:val="24"/>
        </w:rPr>
      </w:pPr>
      <w:r>
        <w:rPr>
          <w:rFonts w:hint="eastAsia" w:ascii="宋体" w:hAnsi="宋体" w:cs="宋体"/>
          <w:b/>
          <w:sz w:val="24"/>
          <w:szCs w:val="24"/>
        </w:rPr>
        <w:t>第四条</w:t>
      </w:r>
      <w:r>
        <w:rPr>
          <w:rFonts w:hint="eastAsia" w:ascii="宋体" w:hAnsi="宋体" w:cs="宋体"/>
          <w:sz w:val="24"/>
          <w:szCs w:val="24"/>
        </w:rPr>
        <w:t xml:space="preserve">  下列财产不属于本保险合同的保险标的：</w:t>
      </w:r>
    </w:p>
    <w:p>
      <w:pPr>
        <w:spacing w:after="156" w:afterLines="50"/>
        <w:ind w:firstLine="480" w:firstLineChars="200"/>
        <w:rPr>
          <w:rFonts w:ascii="宋体" w:hAnsi="宋体" w:cs="宋体"/>
          <w:sz w:val="24"/>
          <w:szCs w:val="24"/>
        </w:rPr>
      </w:pPr>
      <w:r>
        <w:rPr>
          <w:rFonts w:hint="eastAsia" w:ascii="宋体" w:hAnsi="宋体" w:cs="宋体"/>
          <w:sz w:val="24"/>
          <w:szCs w:val="24"/>
        </w:rPr>
        <w:t>（一）土地、矿藏、水资源及其他自然资源；</w:t>
      </w:r>
    </w:p>
    <w:p>
      <w:pPr>
        <w:spacing w:after="156" w:afterLines="50"/>
        <w:ind w:firstLine="480" w:firstLineChars="200"/>
        <w:rPr>
          <w:rFonts w:ascii="宋体" w:hAnsi="宋体" w:cs="宋体"/>
          <w:sz w:val="24"/>
          <w:szCs w:val="24"/>
        </w:rPr>
      </w:pPr>
      <w:r>
        <w:rPr>
          <w:rFonts w:hint="eastAsia" w:ascii="宋体" w:hAnsi="宋体" w:cs="宋体"/>
          <w:sz w:val="24"/>
          <w:szCs w:val="24"/>
        </w:rPr>
        <w:t>（二）矿井、矿坑；</w:t>
      </w:r>
    </w:p>
    <w:p>
      <w:pPr>
        <w:spacing w:after="156" w:afterLines="50"/>
        <w:ind w:firstLine="480" w:firstLineChars="200"/>
        <w:rPr>
          <w:rFonts w:ascii="宋体" w:hAnsi="宋体" w:cs="宋体"/>
          <w:sz w:val="24"/>
          <w:szCs w:val="24"/>
        </w:rPr>
      </w:pPr>
      <w:r>
        <w:rPr>
          <w:rFonts w:hint="eastAsia" w:ascii="宋体" w:hAnsi="宋体" w:cs="宋体"/>
          <w:sz w:val="24"/>
          <w:szCs w:val="24"/>
        </w:rPr>
        <w:t>（三）货币、票证、有价证券以及有现金价值的磁卡、集成电路（IC）卡等卡类；</w:t>
      </w:r>
    </w:p>
    <w:p>
      <w:pPr>
        <w:spacing w:after="156" w:afterLines="50"/>
        <w:ind w:firstLine="480" w:firstLineChars="200"/>
        <w:rPr>
          <w:rFonts w:ascii="宋体" w:hAnsi="宋体" w:cs="宋体"/>
          <w:sz w:val="24"/>
          <w:szCs w:val="24"/>
        </w:rPr>
      </w:pPr>
      <w:r>
        <w:rPr>
          <w:rFonts w:hint="eastAsia" w:ascii="宋体" w:hAnsi="宋体" w:cs="宋体"/>
          <w:sz w:val="24"/>
          <w:szCs w:val="24"/>
        </w:rPr>
        <w:t>（四）文件、账册、图表、技术资料、计算机软件、计算机数据资料等无法鉴定价值的财产；</w:t>
      </w:r>
    </w:p>
    <w:p>
      <w:pPr>
        <w:spacing w:after="156" w:afterLines="50"/>
        <w:ind w:firstLine="480" w:firstLineChars="200"/>
        <w:rPr>
          <w:rFonts w:ascii="宋体" w:hAnsi="宋体" w:cs="宋体"/>
          <w:sz w:val="24"/>
          <w:szCs w:val="24"/>
        </w:rPr>
      </w:pPr>
      <w:r>
        <w:rPr>
          <w:rFonts w:hint="eastAsia" w:ascii="宋体" w:hAnsi="宋体" w:cs="宋体"/>
          <w:sz w:val="24"/>
          <w:szCs w:val="24"/>
        </w:rPr>
        <w:t xml:space="preserve">（五）枪支弹药； </w:t>
      </w:r>
    </w:p>
    <w:p>
      <w:pPr>
        <w:spacing w:after="156" w:afterLines="50"/>
        <w:ind w:firstLine="480" w:firstLineChars="200"/>
        <w:rPr>
          <w:rFonts w:ascii="宋体" w:hAnsi="宋体" w:cs="宋体"/>
          <w:sz w:val="24"/>
          <w:szCs w:val="24"/>
        </w:rPr>
      </w:pPr>
      <w:r>
        <w:rPr>
          <w:rFonts w:hint="eastAsia" w:ascii="宋体" w:hAnsi="宋体" w:cs="宋体"/>
          <w:sz w:val="24"/>
          <w:szCs w:val="24"/>
        </w:rPr>
        <w:t>（六）违章建筑、危险建筑、非法占用的财产；</w:t>
      </w:r>
    </w:p>
    <w:p>
      <w:pPr>
        <w:spacing w:after="156" w:afterLines="50"/>
        <w:ind w:firstLine="480" w:firstLineChars="200"/>
        <w:rPr>
          <w:rFonts w:ascii="宋体" w:hAnsi="宋体" w:cs="宋体"/>
          <w:sz w:val="24"/>
          <w:szCs w:val="24"/>
        </w:rPr>
      </w:pPr>
      <w:r>
        <w:rPr>
          <w:rFonts w:hint="eastAsia" w:ascii="宋体" w:hAnsi="宋体" w:cs="宋体"/>
          <w:sz w:val="24"/>
          <w:szCs w:val="24"/>
        </w:rPr>
        <w:t>（七）领取公共行驶执照的机动车辆；</w:t>
      </w:r>
    </w:p>
    <w:p>
      <w:pPr>
        <w:spacing w:after="156" w:afterLines="50"/>
        <w:ind w:firstLine="480" w:firstLineChars="200"/>
        <w:rPr>
          <w:rFonts w:ascii="宋体" w:hAnsi="宋体" w:cs="宋体"/>
          <w:sz w:val="24"/>
          <w:szCs w:val="24"/>
        </w:rPr>
      </w:pPr>
      <w:r>
        <w:rPr>
          <w:rFonts w:hint="eastAsia" w:ascii="宋体" w:hAnsi="宋体" w:cs="宋体"/>
          <w:sz w:val="24"/>
          <w:szCs w:val="24"/>
        </w:rPr>
        <w:t>（八）动物、植物、农作物。</w:t>
      </w:r>
    </w:p>
    <w:p>
      <w:pPr>
        <w:spacing w:after="156" w:afterLines="50"/>
        <w:ind w:firstLine="444"/>
        <w:rPr>
          <w:rFonts w:ascii="宋体" w:hAnsi="宋体" w:cs="宋体"/>
          <w:i/>
          <w:iCs/>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保险责任</w:t>
      </w:r>
    </w:p>
    <w:p>
      <w:pPr>
        <w:spacing w:after="156" w:afterLines="50"/>
        <w:ind w:firstLine="479" w:firstLineChars="199"/>
        <w:rPr>
          <w:rFonts w:ascii="宋体" w:hAnsi="宋体" w:cs="宋体"/>
          <w:sz w:val="24"/>
          <w:szCs w:val="24"/>
        </w:rPr>
      </w:pPr>
      <w:r>
        <w:rPr>
          <w:rFonts w:hint="eastAsia" w:ascii="宋体" w:hAnsi="宋体" w:cs="宋体"/>
          <w:b/>
          <w:sz w:val="24"/>
          <w:szCs w:val="24"/>
        </w:rPr>
        <w:t>第五条</w:t>
      </w:r>
      <w:r>
        <w:rPr>
          <w:rFonts w:hint="eastAsia" w:ascii="宋体" w:hAnsi="宋体" w:cs="宋体"/>
          <w:sz w:val="24"/>
          <w:szCs w:val="24"/>
        </w:rPr>
        <w:t xml:space="preserve">  在保险期间内，由于下列原因造成</w:t>
      </w:r>
      <w:r>
        <w:rPr>
          <w:rFonts w:hint="eastAsia" w:ascii="宋体" w:hAnsi="宋体" w:cs="宋体"/>
          <w:bCs/>
          <w:sz w:val="24"/>
          <w:szCs w:val="24"/>
        </w:rPr>
        <w:t>保险标的的损失</w:t>
      </w:r>
      <w:r>
        <w:rPr>
          <w:rFonts w:hint="eastAsia" w:ascii="宋体" w:hAnsi="宋体" w:cs="宋体"/>
          <w:sz w:val="24"/>
          <w:szCs w:val="24"/>
        </w:rPr>
        <w:t>，保险人按照本保险合同的约定负责赔偿：</w:t>
      </w:r>
    </w:p>
    <w:p>
      <w:pPr>
        <w:spacing w:after="156" w:afterLines="50"/>
        <w:ind w:firstLine="480" w:firstLineChars="200"/>
        <w:rPr>
          <w:rFonts w:ascii="宋体" w:hAnsi="宋体" w:cs="宋体"/>
          <w:sz w:val="24"/>
          <w:szCs w:val="24"/>
        </w:rPr>
      </w:pPr>
      <w:r>
        <w:rPr>
          <w:rFonts w:hint="eastAsia" w:ascii="宋体" w:hAnsi="宋体" w:cs="宋体"/>
          <w:sz w:val="24"/>
          <w:szCs w:val="24"/>
        </w:rPr>
        <w:t>（一） 火灾、爆炸；</w:t>
      </w:r>
    </w:p>
    <w:p>
      <w:pPr>
        <w:spacing w:after="156" w:afterLines="50"/>
        <w:ind w:firstLine="480" w:firstLineChars="200"/>
        <w:rPr>
          <w:rFonts w:ascii="宋体" w:hAnsi="宋体" w:cs="宋体"/>
          <w:sz w:val="24"/>
          <w:szCs w:val="24"/>
        </w:rPr>
      </w:pPr>
      <w:r>
        <w:rPr>
          <w:rFonts w:hint="eastAsia" w:ascii="宋体" w:hAnsi="宋体" w:cs="宋体"/>
          <w:sz w:val="24"/>
          <w:szCs w:val="24"/>
        </w:rPr>
        <w:t>（二） 雷击、暴雨、洪水、暴风、龙卷风、冰雹、台风、飓风、暴雪、冰凌、突发性滑坡、崩塌、泥石流、地面突然下陷下沉；</w:t>
      </w:r>
    </w:p>
    <w:p>
      <w:pPr>
        <w:spacing w:after="156" w:afterLines="50"/>
        <w:ind w:firstLine="480" w:firstLineChars="200"/>
        <w:rPr>
          <w:rFonts w:ascii="宋体" w:hAnsi="宋体" w:cs="宋体"/>
          <w:sz w:val="24"/>
          <w:szCs w:val="24"/>
        </w:rPr>
      </w:pPr>
      <w:r>
        <w:rPr>
          <w:rFonts w:hint="eastAsia" w:ascii="宋体" w:hAnsi="宋体" w:cs="宋体"/>
          <w:sz w:val="24"/>
          <w:szCs w:val="24"/>
        </w:rPr>
        <w:t>（三）飞行物体及其他空中运行物体坠落。</w:t>
      </w:r>
    </w:p>
    <w:p>
      <w:pPr>
        <w:pStyle w:val="21"/>
        <w:spacing w:after="156" w:afterLines="50"/>
        <w:ind w:firstLine="480" w:firstLineChars="200"/>
        <w:rPr>
          <w:rFonts w:ascii="宋体" w:hAnsi="宋体" w:eastAsia="宋体" w:cs="宋体"/>
          <w:bCs/>
          <w:sz w:val="24"/>
        </w:rPr>
      </w:pPr>
      <w:r>
        <w:rPr>
          <w:rFonts w:hint="eastAsia" w:ascii="宋体" w:hAnsi="宋体" w:eastAsia="宋体" w:cs="宋体"/>
          <w:bCs/>
          <w:sz w:val="24"/>
        </w:rPr>
        <w:t>前款原因造成的保险事故发生时，为抢救保险标的或防止灾害蔓延，采取必要的、合理的措施而造成保险标的的损失，保险人按照本保险合同的约定也负责赔偿。</w:t>
      </w:r>
    </w:p>
    <w:p>
      <w:pPr>
        <w:pStyle w:val="21"/>
        <w:spacing w:after="156" w:afterLines="50"/>
        <w:ind w:firstLine="477" w:firstLineChars="199"/>
        <w:rPr>
          <w:rFonts w:ascii="宋体" w:hAnsi="宋体" w:eastAsia="宋体" w:cs="宋体"/>
          <w:sz w:val="24"/>
        </w:rPr>
      </w:pPr>
      <w:r>
        <w:rPr>
          <w:rFonts w:hint="eastAsia" w:ascii="宋体" w:hAnsi="宋体" w:eastAsia="宋体" w:cs="宋体"/>
          <w:sz w:val="24"/>
        </w:rPr>
        <w:t>第六条  被保险人拥有财产所有权的自用的供电、供水、供气设备因保险事故遭受损坏，引起停电、停水、停气以致造成保险标的直接损失，</w:t>
      </w:r>
      <w:r>
        <w:rPr>
          <w:rFonts w:hint="eastAsia" w:ascii="宋体" w:hAnsi="宋体" w:eastAsia="宋体" w:cs="宋体"/>
          <w:bCs/>
          <w:sz w:val="24"/>
        </w:rPr>
        <w:t>保险人按照本保险合同的约定也负责赔偿。</w:t>
      </w:r>
    </w:p>
    <w:p>
      <w:pPr>
        <w:spacing w:after="156" w:afterLines="50"/>
        <w:ind w:firstLine="472" w:firstLineChars="196"/>
        <w:rPr>
          <w:rFonts w:ascii="宋体" w:hAnsi="宋体" w:cs="宋体"/>
          <w:sz w:val="24"/>
          <w:szCs w:val="24"/>
        </w:rPr>
      </w:pPr>
      <w:r>
        <w:rPr>
          <w:rFonts w:hint="eastAsia" w:ascii="宋体" w:hAnsi="宋体" w:cs="宋体"/>
          <w:b/>
          <w:sz w:val="24"/>
          <w:szCs w:val="24"/>
        </w:rPr>
        <w:t>第七条</w:t>
      </w:r>
      <w:r>
        <w:rPr>
          <w:rFonts w:hint="eastAsia" w:ascii="宋体" w:hAnsi="宋体" w:cs="宋体"/>
          <w:sz w:val="24"/>
          <w:szCs w:val="24"/>
        </w:rPr>
        <w:t xml:space="preserve">  保险事故发生后，被保险人为防止或减少保险标的的损失所支付的必要的、合理的费用，保险人按照本保险合同的约定也负责赔偿。</w:t>
      </w:r>
    </w:p>
    <w:p>
      <w:pPr>
        <w:pStyle w:val="21"/>
        <w:spacing w:after="156" w:afterLines="50"/>
        <w:ind w:firstLine="480"/>
        <w:rPr>
          <w:rFonts w:ascii="宋体" w:hAnsi="宋体" w:eastAsia="宋体" w:cs="宋体"/>
          <w:sz w:val="24"/>
        </w:rPr>
      </w:pPr>
    </w:p>
    <w:p>
      <w:pPr>
        <w:spacing w:after="156" w:afterLines="50"/>
        <w:jc w:val="center"/>
        <w:rPr>
          <w:rFonts w:ascii="宋体" w:hAnsi="宋体" w:cs="宋体"/>
          <w:b/>
          <w:bCs/>
          <w:sz w:val="24"/>
          <w:szCs w:val="24"/>
        </w:rPr>
      </w:pPr>
      <w:r>
        <w:rPr>
          <w:rFonts w:hint="eastAsia" w:ascii="宋体" w:hAnsi="宋体" w:cs="宋体"/>
          <w:b/>
          <w:bCs/>
          <w:sz w:val="24"/>
          <w:szCs w:val="24"/>
        </w:rPr>
        <w:t>责任免除</w:t>
      </w:r>
    </w:p>
    <w:p>
      <w:pPr>
        <w:spacing w:after="156" w:afterLines="50"/>
        <w:ind w:firstLine="479" w:firstLineChars="199"/>
        <w:rPr>
          <w:rFonts w:ascii="宋体" w:hAnsi="宋体" w:cs="宋体"/>
          <w:b/>
          <w:sz w:val="24"/>
          <w:szCs w:val="24"/>
        </w:rPr>
      </w:pPr>
      <w:r>
        <w:rPr>
          <w:rFonts w:hint="eastAsia" w:ascii="宋体" w:hAnsi="宋体" w:cs="宋体"/>
          <w:b/>
          <w:sz w:val="24"/>
          <w:szCs w:val="24"/>
        </w:rPr>
        <w:t>第八条</w:t>
      </w:r>
      <w:r>
        <w:rPr>
          <w:rFonts w:hint="eastAsia" w:ascii="宋体" w:hAnsi="宋体" w:cs="宋体"/>
          <w:sz w:val="24"/>
          <w:szCs w:val="24"/>
        </w:rPr>
        <w:t xml:space="preserve"> </w:t>
      </w:r>
      <w:r>
        <w:rPr>
          <w:rFonts w:hint="eastAsia" w:ascii="宋体" w:hAnsi="宋体" w:cs="宋体"/>
          <w:b/>
          <w:sz w:val="24"/>
          <w:szCs w:val="24"/>
        </w:rPr>
        <w:t xml:space="preserve"> 下列原因造成的损失、费用，保险人不负责赔偿：</w:t>
      </w:r>
    </w:p>
    <w:p>
      <w:pPr>
        <w:spacing w:after="156" w:afterLines="50"/>
        <w:ind w:firstLine="479" w:firstLineChars="199"/>
        <w:rPr>
          <w:rFonts w:ascii="宋体" w:hAnsi="宋体" w:cs="宋体"/>
          <w:b/>
          <w:sz w:val="24"/>
          <w:szCs w:val="24"/>
        </w:rPr>
      </w:pPr>
      <w:r>
        <w:rPr>
          <w:rFonts w:hint="eastAsia" w:ascii="宋体" w:hAnsi="宋体" w:cs="宋体"/>
          <w:b/>
          <w:sz w:val="24"/>
          <w:szCs w:val="24"/>
        </w:rPr>
        <w:t>（一）投保人、被保险人及其代表的故意或重大过失行为；</w:t>
      </w:r>
    </w:p>
    <w:p>
      <w:pPr>
        <w:spacing w:after="156" w:afterLines="50"/>
        <w:ind w:firstLine="482" w:firstLineChars="200"/>
        <w:rPr>
          <w:rFonts w:ascii="宋体" w:hAnsi="宋体" w:cs="宋体"/>
          <w:b/>
          <w:sz w:val="24"/>
          <w:szCs w:val="24"/>
        </w:rPr>
      </w:pPr>
      <w:r>
        <w:rPr>
          <w:rFonts w:hint="eastAsia" w:ascii="宋体" w:hAnsi="宋体" w:cs="宋体"/>
          <w:b/>
          <w:sz w:val="24"/>
          <w:szCs w:val="24"/>
        </w:rPr>
        <w:t xml:space="preserve">（二）行政行为或司法行为； </w:t>
      </w:r>
    </w:p>
    <w:p>
      <w:pPr>
        <w:spacing w:after="156" w:afterLines="50"/>
        <w:ind w:firstLine="482" w:firstLineChars="200"/>
        <w:rPr>
          <w:rFonts w:ascii="宋体" w:hAnsi="宋体" w:cs="宋体"/>
          <w:b/>
          <w:sz w:val="24"/>
          <w:szCs w:val="24"/>
        </w:rPr>
      </w:pPr>
      <w:r>
        <w:rPr>
          <w:rFonts w:hint="eastAsia" w:ascii="宋体" w:hAnsi="宋体" w:cs="宋体"/>
          <w:b/>
          <w:sz w:val="24"/>
          <w:szCs w:val="24"/>
        </w:rPr>
        <w:t xml:space="preserve">（三）战争、类似战争行为、敌对行动、军事行动、武装冲突、罢工、骚乱、暴动、政变、谋反、恐怖活动； </w:t>
      </w:r>
    </w:p>
    <w:p>
      <w:pPr>
        <w:spacing w:after="156" w:afterLines="50"/>
        <w:ind w:firstLine="482" w:firstLineChars="200"/>
        <w:rPr>
          <w:rFonts w:ascii="宋体" w:hAnsi="宋体" w:cs="宋体"/>
          <w:b/>
          <w:sz w:val="24"/>
          <w:szCs w:val="24"/>
        </w:rPr>
      </w:pPr>
      <w:r>
        <w:rPr>
          <w:rFonts w:hint="eastAsia" w:ascii="宋体" w:hAnsi="宋体" w:cs="宋体"/>
          <w:b/>
          <w:sz w:val="24"/>
          <w:szCs w:val="24"/>
        </w:rPr>
        <w:t>（四）地震、海啸及其次生灾害；</w:t>
      </w:r>
    </w:p>
    <w:p>
      <w:pPr>
        <w:spacing w:after="156" w:afterLines="50"/>
        <w:ind w:firstLine="482" w:firstLineChars="200"/>
        <w:rPr>
          <w:rFonts w:ascii="宋体" w:hAnsi="宋体" w:cs="宋体"/>
          <w:b/>
          <w:sz w:val="24"/>
          <w:szCs w:val="24"/>
        </w:rPr>
      </w:pPr>
      <w:r>
        <w:rPr>
          <w:rFonts w:hint="eastAsia" w:ascii="宋体" w:hAnsi="宋体" w:cs="宋体"/>
          <w:b/>
          <w:sz w:val="24"/>
          <w:szCs w:val="24"/>
        </w:rPr>
        <w:t>（五）核辐射、核裂变、核聚变、核污染及其他放射性污染；</w:t>
      </w:r>
    </w:p>
    <w:p>
      <w:pPr>
        <w:spacing w:after="156" w:afterLines="50"/>
        <w:ind w:firstLine="482" w:firstLineChars="200"/>
        <w:rPr>
          <w:rFonts w:ascii="宋体" w:hAnsi="宋体" w:cs="宋体"/>
          <w:b/>
          <w:sz w:val="24"/>
          <w:szCs w:val="24"/>
        </w:rPr>
      </w:pPr>
      <w:r>
        <w:rPr>
          <w:rFonts w:hint="eastAsia" w:ascii="宋体" w:hAnsi="宋体" w:cs="宋体"/>
          <w:b/>
          <w:sz w:val="24"/>
          <w:szCs w:val="24"/>
        </w:rPr>
        <w:t>（六）大气污染、土地污染、水污染及其他非放射性污染，但因保险事故造成的非放射性污染不在此限；</w:t>
      </w:r>
    </w:p>
    <w:p>
      <w:pPr>
        <w:spacing w:after="156" w:afterLines="50"/>
        <w:ind w:firstLine="482" w:firstLineChars="200"/>
        <w:rPr>
          <w:rFonts w:ascii="宋体" w:hAnsi="宋体" w:cs="宋体"/>
          <w:b/>
          <w:sz w:val="24"/>
          <w:szCs w:val="24"/>
        </w:rPr>
      </w:pPr>
      <w:r>
        <w:rPr>
          <w:rFonts w:hint="eastAsia" w:ascii="宋体" w:hAnsi="宋体" w:cs="宋体"/>
          <w:b/>
          <w:sz w:val="24"/>
          <w:szCs w:val="24"/>
        </w:rPr>
        <w:t>（七）保险标的的内在或潜在缺陷、自然磨损、自然损耗，大气（气候或气温）变化、正常水位变化或其他渐变原因，物质本身变化、霉烂、受潮、鼠咬、虫蛀、鸟啄、氧化、锈蚀、渗漏、自燃、烘焙；</w:t>
      </w:r>
    </w:p>
    <w:p>
      <w:pPr>
        <w:spacing w:after="156" w:afterLines="50"/>
        <w:ind w:firstLine="482" w:firstLineChars="200"/>
        <w:rPr>
          <w:rFonts w:ascii="宋体" w:hAnsi="宋体" w:cs="宋体"/>
          <w:b/>
          <w:sz w:val="24"/>
          <w:szCs w:val="24"/>
        </w:rPr>
      </w:pPr>
      <w:r>
        <w:rPr>
          <w:rFonts w:hint="eastAsia" w:ascii="宋体" w:hAnsi="宋体" w:cs="宋体"/>
          <w:b/>
          <w:sz w:val="24"/>
          <w:szCs w:val="24"/>
        </w:rPr>
        <w:t>（八）水箱、水管爆裂；</w:t>
      </w:r>
    </w:p>
    <w:p>
      <w:pPr>
        <w:spacing w:after="156" w:afterLines="50"/>
        <w:ind w:firstLine="482" w:firstLineChars="200"/>
        <w:rPr>
          <w:rFonts w:ascii="宋体" w:hAnsi="宋体" w:cs="宋体"/>
          <w:b/>
          <w:sz w:val="24"/>
          <w:szCs w:val="24"/>
        </w:rPr>
      </w:pPr>
      <w:r>
        <w:rPr>
          <w:rFonts w:hint="eastAsia" w:ascii="宋体" w:hAnsi="宋体" w:cs="宋体"/>
          <w:b/>
          <w:sz w:val="24"/>
          <w:szCs w:val="24"/>
        </w:rPr>
        <w:t>（九）盗窃、抢劫。</w:t>
      </w:r>
    </w:p>
    <w:p>
      <w:pPr>
        <w:spacing w:after="156" w:afterLines="50"/>
        <w:ind w:firstLine="479" w:firstLineChars="199"/>
        <w:rPr>
          <w:rFonts w:ascii="宋体" w:hAnsi="宋体" w:cs="宋体"/>
          <w:b/>
          <w:sz w:val="24"/>
          <w:szCs w:val="24"/>
        </w:rPr>
      </w:pPr>
      <w:r>
        <w:rPr>
          <w:rFonts w:hint="eastAsia" w:ascii="宋体" w:hAnsi="宋体" w:cs="宋体"/>
          <w:b/>
          <w:sz w:val="24"/>
          <w:szCs w:val="24"/>
        </w:rPr>
        <w:t>第九条  下列损失、费用，保险人也不负责赔偿：</w:t>
      </w:r>
    </w:p>
    <w:p>
      <w:pPr>
        <w:spacing w:after="156" w:afterLines="50"/>
        <w:ind w:firstLine="479" w:firstLineChars="199"/>
        <w:rPr>
          <w:rFonts w:ascii="宋体" w:hAnsi="宋体" w:cs="宋体"/>
          <w:b/>
          <w:sz w:val="24"/>
          <w:szCs w:val="24"/>
        </w:rPr>
      </w:pPr>
      <w:r>
        <w:rPr>
          <w:rFonts w:hint="eastAsia" w:ascii="宋体" w:hAnsi="宋体" w:cs="宋体"/>
          <w:b/>
          <w:sz w:val="24"/>
          <w:szCs w:val="24"/>
        </w:rPr>
        <w:t>（一） 保险标的遭受保险事故引起的各种间接损失；</w:t>
      </w:r>
    </w:p>
    <w:p>
      <w:pPr>
        <w:spacing w:after="156" w:afterLines="50"/>
        <w:ind w:firstLine="479" w:firstLineChars="199"/>
        <w:rPr>
          <w:rFonts w:ascii="宋体" w:hAnsi="宋体" w:cs="宋体"/>
          <w:b/>
          <w:sz w:val="24"/>
          <w:szCs w:val="24"/>
        </w:rPr>
      </w:pPr>
      <w:r>
        <w:rPr>
          <w:rFonts w:hint="eastAsia" w:ascii="宋体" w:hAnsi="宋体" w:cs="宋体"/>
          <w:b/>
          <w:sz w:val="24"/>
          <w:szCs w:val="24"/>
        </w:rPr>
        <w:t>（二）广告牌、天线、霓虹灯、太阳能装置等建筑物外部附属设施，存放于露天或简易建筑物内部的保险标的以及简易建筑本身，由于雷击、暴雨、洪水、暴风、龙卷风、冰雹、台风、飓风、暴雪、冰凌、沙尘暴造成的损失；</w:t>
      </w:r>
    </w:p>
    <w:p>
      <w:pPr>
        <w:spacing w:after="156" w:afterLines="50"/>
        <w:ind w:firstLine="472" w:firstLineChars="196"/>
        <w:rPr>
          <w:rFonts w:ascii="宋体" w:hAnsi="宋体" w:cs="宋体"/>
          <w:b/>
          <w:sz w:val="24"/>
          <w:szCs w:val="24"/>
        </w:rPr>
      </w:pPr>
      <w:r>
        <w:rPr>
          <w:rFonts w:hint="eastAsia" w:ascii="宋体" w:hAnsi="宋体" w:cs="宋体"/>
          <w:b/>
          <w:sz w:val="24"/>
          <w:szCs w:val="24"/>
        </w:rPr>
        <w:t>（三）锅炉及压力容器爆炸造成其本身的损失；</w:t>
      </w:r>
    </w:p>
    <w:p>
      <w:pPr>
        <w:spacing w:after="156" w:afterLines="50"/>
        <w:ind w:firstLine="479" w:firstLineChars="199"/>
        <w:rPr>
          <w:rFonts w:ascii="宋体" w:hAnsi="宋体" w:cs="宋体"/>
          <w:b/>
          <w:sz w:val="24"/>
          <w:szCs w:val="24"/>
        </w:rPr>
      </w:pPr>
      <w:r>
        <w:rPr>
          <w:rFonts w:hint="eastAsia" w:ascii="宋体" w:hAnsi="宋体" w:cs="宋体"/>
          <w:b/>
          <w:sz w:val="24"/>
          <w:szCs w:val="24"/>
        </w:rPr>
        <w:t>（四）本保险合同中载明的免赔额或按本保险合同中载明的免赔率计算的免赔额。</w:t>
      </w:r>
    </w:p>
    <w:p>
      <w:pPr>
        <w:spacing w:after="156" w:afterLines="50"/>
        <w:ind w:firstLine="480"/>
        <w:rPr>
          <w:rFonts w:ascii="宋体" w:hAnsi="宋体" w:cs="宋体"/>
          <w:b/>
          <w:sz w:val="24"/>
          <w:szCs w:val="24"/>
        </w:rPr>
      </w:pPr>
      <w:r>
        <w:rPr>
          <w:rFonts w:hint="eastAsia" w:ascii="宋体" w:hAnsi="宋体" w:cs="宋体"/>
          <w:b/>
          <w:sz w:val="24"/>
          <w:szCs w:val="24"/>
        </w:rPr>
        <w:t xml:space="preserve"> 第十条 其他不属于本保险合同责任范围内的损失和费用，保险人不负责赔偿。</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保险价值、保险金额与免赔额（率）</w:t>
      </w:r>
    </w:p>
    <w:p>
      <w:pPr>
        <w:spacing w:after="156" w:afterLines="50"/>
        <w:rPr>
          <w:rFonts w:ascii="宋体" w:hAnsi="宋体" w:cs="宋体"/>
          <w:b/>
          <w:bCs/>
          <w:sz w:val="24"/>
          <w:szCs w:val="24"/>
        </w:rPr>
      </w:pPr>
      <w:r>
        <w:rPr>
          <w:rFonts w:hint="eastAsia" w:ascii="宋体" w:hAnsi="宋体" w:cs="宋体"/>
          <w:b/>
          <w:sz w:val="24"/>
          <w:szCs w:val="24"/>
        </w:rPr>
        <w:t xml:space="preserve">    第十一条  </w:t>
      </w:r>
      <w:r>
        <w:rPr>
          <w:rFonts w:hint="eastAsia" w:ascii="宋体" w:hAnsi="宋体" w:cs="宋体"/>
          <w:bCs/>
          <w:sz w:val="24"/>
          <w:szCs w:val="24"/>
        </w:rPr>
        <w:t>保险标的的保险价值可以为出险时的重置价值、出险时的账面余额、出险时的市场价值或其他价值，由投保人与保险人协商确定，并在本保险合同中载明。</w:t>
      </w:r>
      <w:r>
        <w:rPr>
          <w:rFonts w:hint="eastAsia" w:ascii="宋体" w:hAnsi="宋体" w:cs="宋体"/>
          <w:b/>
          <w:bCs/>
          <w:sz w:val="24"/>
          <w:szCs w:val="24"/>
        </w:rPr>
        <w:t xml:space="preserve"> </w:t>
      </w:r>
    </w:p>
    <w:p>
      <w:pPr>
        <w:spacing w:after="156" w:afterLines="50"/>
        <w:ind w:firstLine="472" w:firstLineChars="196"/>
        <w:rPr>
          <w:rFonts w:ascii="宋体" w:hAnsi="宋体" w:cs="宋体"/>
          <w:sz w:val="24"/>
          <w:szCs w:val="24"/>
        </w:rPr>
      </w:pPr>
      <w:r>
        <w:rPr>
          <w:rFonts w:hint="eastAsia" w:ascii="宋体" w:hAnsi="宋体" w:cs="宋体"/>
          <w:b/>
          <w:sz w:val="24"/>
          <w:szCs w:val="24"/>
        </w:rPr>
        <w:t>第十二条</w:t>
      </w:r>
      <w:r>
        <w:rPr>
          <w:rFonts w:hint="eastAsia" w:ascii="宋体" w:hAnsi="宋体" w:cs="宋体"/>
          <w:sz w:val="24"/>
          <w:szCs w:val="24"/>
        </w:rPr>
        <w:t xml:space="preserve">  保险金额由投保人参照保险价值自行确定，并在保险合同中载明。保险金额不得超过保险价值。超过保险价值的，超过部分无效，保险人应当退还相应的保险费。</w:t>
      </w:r>
    </w:p>
    <w:p>
      <w:pPr>
        <w:spacing w:after="156" w:afterLines="50"/>
        <w:ind w:firstLine="479" w:firstLineChars="199"/>
        <w:rPr>
          <w:rFonts w:ascii="宋体" w:hAnsi="宋体" w:cs="宋体"/>
          <w:sz w:val="24"/>
          <w:szCs w:val="24"/>
        </w:rPr>
      </w:pPr>
      <w:r>
        <w:rPr>
          <w:rFonts w:hint="eastAsia" w:ascii="宋体" w:hAnsi="宋体" w:cs="宋体"/>
          <w:b/>
          <w:bCs/>
          <w:sz w:val="24"/>
          <w:szCs w:val="24"/>
        </w:rPr>
        <w:t>第十三条</w:t>
      </w:r>
      <w:r>
        <w:rPr>
          <w:rFonts w:hint="eastAsia" w:ascii="宋体" w:hAnsi="宋体" w:cs="宋体"/>
          <w:sz w:val="24"/>
          <w:szCs w:val="24"/>
        </w:rPr>
        <w:t xml:space="preserve">  免赔额（率）由投保人与保险人在订立保险合同时协商确定，并在保险合同中载明。</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保险期间</w:t>
      </w:r>
    </w:p>
    <w:p>
      <w:pPr>
        <w:spacing w:after="156" w:afterLines="50"/>
        <w:ind w:firstLine="479" w:firstLineChars="199"/>
        <w:rPr>
          <w:rFonts w:ascii="宋体" w:hAnsi="宋体" w:cs="宋体"/>
          <w:sz w:val="24"/>
          <w:szCs w:val="24"/>
        </w:rPr>
      </w:pPr>
      <w:r>
        <w:rPr>
          <w:rFonts w:hint="eastAsia" w:ascii="宋体" w:hAnsi="宋体" w:cs="宋体"/>
          <w:b/>
          <w:sz w:val="24"/>
          <w:szCs w:val="24"/>
        </w:rPr>
        <w:t xml:space="preserve">第十四条  </w:t>
      </w:r>
      <w:r>
        <w:rPr>
          <w:rFonts w:hint="eastAsia" w:ascii="宋体" w:hAnsi="宋体" w:cs="宋体"/>
          <w:sz w:val="24"/>
          <w:szCs w:val="24"/>
        </w:rPr>
        <w:t>除另有约定外，保险期间为一年，以保险单载明的起讫时间为准。</w:t>
      </w:r>
    </w:p>
    <w:p>
      <w:pPr>
        <w:spacing w:after="156" w:afterLines="50"/>
        <w:ind w:firstLine="480"/>
        <w:rPr>
          <w:rFonts w:ascii="宋体" w:hAnsi="宋体" w:cs="宋体"/>
          <w:b/>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保险人义务</w:t>
      </w:r>
    </w:p>
    <w:p>
      <w:pPr>
        <w:spacing w:after="156" w:afterLines="50"/>
        <w:ind w:firstLine="472" w:firstLineChars="196"/>
        <w:rPr>
          <w:rFonts w:ascii="宋体" w:hAnsi="宋体" w:cs="宋体"/>
          <w:sz w:val="24"/>
          <w:szCs w:val="24"/>
        </w:rPr>
      </w:pPr>
      <w:r>
        <w:rPr>
          <w:rFonts w:hint="eastAsia" w:ascii="宋体" w:hAnsi="宋体" w:cs="宋体"/>
          <w:b/>
          <w:bCs/>
          <w:sz w:val="24"/>
          <w:szCs w:val="24"/>
        </w:rPr>
        <w:t xml:space="preserve">第十五条 </w:t>
      </w:r>
      <w:r>
        <w:rPr>
          <w:rFonts w:hint="eastAsia" w:ascii="宋体" w:hAnsi="宋体" w:cs="宋体"/>
          <w:sz w:val="24"/>
          <w:szCs w:val="24"/>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156" w:afterLines="50"/>
        <w:ind w:firstLine="472" w:firstLineChars="196"/>
        <w:rPr>
          <w:rFonts w:ascii="宋体" w:hAnsi="宋体" w:cs="宋体"/>
          <w:sz w:val="24"/>
          <w:szCs w:val="24"/>
        </w:rPr>
      </w:pPr>
      <w:r>
        <w:rPr>
          <w:rFonts w:hint="eastAsia" w:ascii="宋体" w:hAnsi="宋体" w:cs="宋体"/>
          <w:b/>
          <w:bCs/>
          <w:sz w:val="24"/>
          <w:szCs w:val="24"/>
        </w:rPr>
        <w:t xml:space="preserve">第十六条 </w:t>
      </w:r>
      <w:r>
        <w:rPr>
          <w:rFonts w:hint="eastAsia" w:ascii="宋体" w:hAnsi="宋体" w:cs="宋体"/>
          <w:sz w:val="24"/>
          <w:szCs w:val="24"/>
        </w:rPr>
        <w:t xml:space="preserve"> 本保险合同成立后，保险人应当及时向投保人签发保险单或其他保险凭证。</w:t>
      </w:r>
    </w:p>
    <w:p>
      <w:pPr>
        <w:spacing w:after="156" w:afterLines="50"/>
        <w:ind w:firstLine="434" w:firstLineChars="180"/>
        <w:rPr>
          <w:rStyle w:val="34"/>
          <w:rFonts w:ascii="宋体" w:hAnsi="宋体" w:cs="宋体"/>
          <w:sz w:val="24"/>
          <w:szCs w:val="24"/>
        </w:rPr>
      </w:pPr>
      <w:r>
        <w:rPr>
          <w:rFonts w:hint="eastAsia" w:ascii="宋体" w:hAnsi="宋体" w:cs="宋体"/>
          <w:b/>
          <w:bCs/>
          <w:sz w:val="24"/>
          <w:szCs w:val="24"/>
        </w:rPr>
        <w:t xml:space="preserve">第十七条 </w:t>
      </w:r>
      <w:r>
        <w:rPr>
          <w:rFonts w:hint="eastAsia" w:ascii="宋体" w:hAnsi="宋体" w:cs="宋体"/>
          <w:sz w:val="24"/>
          <w:szCs w:val="24"/>
        </w:rPr>
        <w:t xml:space="preserve"> 保险人依据第二十一条所取得的保险合同解除权，</w:t>
      </w:r>
      <w:r>
        <w:rPr>
          <w:rStyle w:val="34"/>
          <w:rFonts w:hint="eastAsia" w:ascii="宋体" w:hAnsi="宋体" w:cs="宋体"/>
          <w:color w:val="000000"/>
          <w:sz w:val="24"/>
          <w:szCs w:val="24"/>
        </w:rPr>
        <w:t>自保险人知道有解除事由之日起，超过三十日不行使而消灭。自保险合同成立之日起超过二年的，保险人不得解除合同；发生保险事故的，保险人承担赔偿责任。</w:t>
      </w:r>
    </w:p>
    <w:p>
      <w:pPr>
        <w:spacing w:after="156" w:afterLines="50"/>
        <w:ind w:firstLine="434" w:firstLineChars="181"/>
        <w:rPr>
          <w:rFonts w:ascii="宋体" w:hAnsi="宋体" w:cs="宋体"/>
          <w:color w:val="000000"/>
          <w:sz w:val="24"/>
          <w:szCs w:val="24"/>
        </w:rPr>
      </w:pPr>
      <w:r>
        <w:rPr>
          <w:rStyle w:val="34"/>
          <w:rFonts w:hint="eastAsia" w:ascii="宋体" w:hAnsi="宋体" w:cs="宋体"/>
          <w:color w:val="000000"/>
          <w:sz w:val="24"/>
          <w:szCs w:val="24"/>
        </w:rPr>
        <w:t>保险人在合同订立时已经知道投保人未如实告知的情况的，保险人不得解除合同；发生保险事故的，保险人应当承担赔偿责任。</w:t>
      </w:r>
    </w:p>
    <w:p>
      <w:pPr>
        <w:spacing w:after="156" w:afterLines="50"/>
        <w:ind w:firstLine="434" w:firstLineChars="180"/>
        <w:rPr>
          <w:rStyle w:val="34"/>
          <w:rFonts w:ascii="宋体" w:hAnsi="宋体" w:cs="宋体"/>
          <w:sz w:val="24"/>
          <w:szCs w:val="24"/>
        </w:rPr>
      </w:pPr>
      <w:r>
        <w:rPr>
          <w:rFonts w:hint="eastAsia" w:ascii="宋体" w:hAnsi="宋体" w:cs="宋体"/>
          <w:b/>
          <w:bCs/>
          <w:sz w:val="24"/>
          <w:szCs w:val="24"/>
        </w:rPr>
        <w:t xml:space="preserve">第十八条 </w:t>
      </w:r>
      <w:r>
        <w:rPr>
          <w:rFonts w:hint="eastAsia" w:ascii="宋体" w:hAnsi="宋体" w:cs="宋体"/>
          <w:sz w:val="24"/>
          <w:szCs w:val="24"/>
        </w:rPr>
        <w:t xml:space="preserve"> </w:t>
      </w:r>
      <w:r>
        <w:rPr>
          <w:rStyle w:val="34"/>
          <w:rFonts w:hint="eastAsia" w:ascii="宋体" w:hAnsi="宋体" w:cs="宋体"/>
          <w:color w:val="000000"/>
          <w:sz w:val="24"/>
          <w:szCs w:val="24"/>
        </w:rPr>
        <w:t>保险人按照第二十七条的约定，认为被保险人提供的有关索赔的证明和资料不完整的，应当及时一次性通知投保人、被保险人补充提供。</w:t>
      </w:r>
    </w:p>
    <w:p>
      <w:pPr>
        <w:adjustRightInd w:val="0"/>
        <w:snapToGrid w:val="0"/>
        <w:spacing w:after="156" w:afterLines="50"/>
        <w:ind w:firstLine="472" w:firstLineChars="196"/>
        <w:rPr>
          <w:rFonts w:ascii="宋体" w:hAnsi="宋体" w:cs="宋体"/>
          <w:sz w:val="24"/>
          <w:szCs w:val="24"/>
        </w:rPr>
      </w:pPr>
      <w:r>
        <w:rPr>
          <w:rFonts w:hint="eastAsia" w:ascii="宋体" w:hAnsi="宋体" w:cs="宋体"/>
          <w:b/>
          <w:bCs/>
          <w:sz w:val="24"/>
          <w:szCs w:val="24"/>
        </w:rPr>
        <w:t xml:space="preserve">第十九条 </w:t>
      </w:r>
      <w:r>
        <w:rPr>
          <w:rFonts w:hint="eastAsia" w:ascii="宋体" w:hAnsi="宋体" w:cs="宋体"/>
          <w:sz w:val="24"/>
          <w:szCs w:val="24"/>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156" w:afterLines="50"/>
        <w:ind w:firstLine="470" w:firstLineChars="196"/>
        <w:rPr>
          <w:rStyle w:val="34"/>
          <w:rFonts w:ascii="宋体" w:hAnsi="宋体" w:cs="宋体"/>
          <w:color w:val="000000"/>
          <w:sz w:val="24"/>
          <w:szCs w:val="24"/>
        </w:rPr>
      </w:pPr>
      <w:r>
        <w:rPr>
          <w:rFonts w:hint="eastAsia" w:ascii="宋体" w:hAnsi="宋体" w:cs="宋体"/>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Style w:val="34"/>
          <w:rFonts w:hint="eastAsia" w:ascii="宋体" w:hAnsi="宋体" w:cs="宋体"/>
          <w:sz w:val="24"/>
          <w:szCs w:val="24"/>
        </w:rPr>
        <w:t>对不属于保险责任的，应当自作出核定之日起三日内向被保险人发出拒绝赔偿保险金通知书，并说明理由</w:t>
      </w:r>
      <w:r>
        <w:rPr>
          <w:rFonts w:hint="eastAsia" w:ascii="宋体" w:hAnsi="宋体" w:cs="宋体"/>
          <w:sz w:val="24"/>
          <w:szCs w:val="24"/>
        </w:rPr>
        <w:t>。</w:t>
      </w:r>
    </w:p>
    <w:p>
      <w:pPr>
        <w:spacing w:after="156" w:afterLines="50"/>
        <w:ind w:firstLine="482" w:firstLineChars="200"/>
        <w:rPr>
          <w:rFonts w:ascii="宋体" w:hAnsi="宋体" w:cs="宋体"/>
          <w:sz w:val="24"/>
          <w:szCs w:val="24"/>
        </w:rPr>
      </w:pPr>
      <w:r>
        <w:rPr>
          <w:rFonts w:hint="eastAsia" w:ascii="宋体" w:hAnsi="宋体" w:cs="宋体"/>
          <w:b/>
          <w:bCs/>
          <w:sz w:val="24"/>
          <w:szCs w:val="24"/>
        </w:rPr>
        <w:t xml:space="preserve">第二十条 </w:t>
      </w:r>
      <w:r>
        <w:rPr>
          <w:rFonts w:hint="eastAsia" w:ascii="宋体" w:hAnsi="宋体" w:cs="宋体"/>
          <w:sz w:val="24"/>
          <w:szCs w:val="24"/>
        </w:rPr>
        <w:t xml:space="preserve"> </w:t>
      </w:r>
      <w:r>
        <w:rPr>
          <w:rStyle w:val="34"/>
          <w:rFonts w:hint="eastAsia" w:ascii="宋体" w:hAnsi="宋体" w:cs="宋体"/>
          <w:color w:val="000000"/>
          <w:sz w:val="24"/>
          <w:szCs w:val="24"/>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35"/>
          <w:rFonts w:hint="eastAsia" w:ascii="宋体" w:hAnsi="宋体" w:cs="宋体"/>
          <w:color w:val="000000"/>
          <w:sz w:val="24"/>
          <w:szCs w:val="24"/>
        </w:rPr>
        <w:t> </w:t>
      </w:r>
    </w:p>
    <w:p>
      <w:pPr>
        <w:spacing w:after="156" w:afterLines="50"/>
        <w:ind w:firstLine="480"/>
        <w:rPr>
          <w:rFonts w:ascii="宋体" w:hAnsi="宋体" w:cs="宋体"/>
          <w:i/>
          <w:iCs/>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投保人、被保险人义务</w:t>
      </w:r>
    </w:p>
    <w:p>
      <w:pPr>
        <w:pStyle w:val="15"/>
        <w:spacing w:after="156" w:afterLines="50"/>
        <w:ind w:firstLine="472" w:firstLineChars="196"/>
        <w:rPr>
          <w:rFonts w:ascii="宋体" w:hAnsi="宋体" w:eastAsia="宋体" w:cs="宋体"/>
          <w:szCs w:val="24"/>
        </w:rPr>
      </w:pPr>
      <w:r>
        <w:rPr>
          <w:rFonts w:hint="eastAsia" w:ascii="宋体" w:hAnsi="宋体" w:eastAsia="宋体" w:cs="宋体"/>
          <w:b/>
          <w:szCs w:val="24"/>
        </w:rPr>
        <w:t>第二十一条</w:t>
      </w:r>
      <w:r>
        <w:rPr>
          <w:rFonts w:hint="eastAsia" w:ascii="宋体" w:hAnsi="宋体" w:eastAsia="宋体" w:cs="宋体"/>
          <w:szCs w:val="24"/>
        </w:rPr>
        <w:t xml:space="preserve">  订立保险合同，保险人就保险标的或者被保险人的有关情况提出询问的，投保人应当如实告知，并如实填写投保单。</w:t>
      </w:r>
    </w:p>
    <w:p>
      <w:pPr>
        <w:pStyle w:val="11"/>
        <w:spacing w:after="156" w:afterLines="50"/>
        <w:rPr>
          <w:rFonts w:ascii="宋体" w:hAnsi="宋体" w:eastAsia="宋体" w:cs="宋体"/>
          <w:szCs w:val="24"/>
        </w:rPr>
      </w:pPr>
      <w:r>
        <w:rPr>
          <w:rFonts w:hint="eastAsia" w:ascii="宋体" w:hAnsi="宋体" w:eastAsia="宋体" w:cs="宋体"/>
          <w:szCs w:val="24"/>
        </w:rPr>
        <w:t>投保人故意或者因重大过失未履行前款规定的如实告知义务，足以影响保险人决定是否同意承保或者提高保险费率的，保险人有权解除合同。</w:t>
      </w:r>
    </w:p>
    <w:p>
      <w:pPr>
        <w:pStyle w:val="11"/>
        <w:spacing w:after="156" w:afterLines="50"/>
        <w:ind w:firstLine="602"/>
        <w:rPr>
          <w:rFonts w:ascii="宋体" w:hAnsi="宋体" w:eastAsia="宋体" w:cs="宋体"/>
          <w:szCs w:val="24"/>
        </w:rPr>
      </w:pPr>
      <w:r>
        <w:rPr>
          <w:rFonts w:hint="eastAsia" w:ascii="宋体" w:hAnsi="宋体" w:eastAsia="宋体" w:cs="宋体"/>
          <w:b/>
          <w:szCs w:val="24"/>
        </w:rPr>
        <w:t>投保人故意不履行如实告知义务的，保险人对于合同解除前发生的保险事故，不承担赔偿责任，并不退还保险费。</w:t>
      </w:r>
    </w:p>
    <w:p>
      <w:pPr>
        <w:pStyle w:val="11"/>
        <w:spacing w:after="156" w:afterLines="50"/>
        <w:ind w:firstLine="602"/>
        <w:rPr>
          <w:rFonts w:ascii="宋体" w:hAnsi="宋体" w:eastAsia="宋体" w:cs="宋体"/>
          <w:bCs/>
          <w:szCs w:val="24"/>
        </w:rPr>
      </w:pPr>
      <w:r>
        <w:rPr>
          <w:rFonts w:hint="eastAsia" w:ascii="宋体" w:hAnsi="宋体" w:eastAsia="宋体" w:cs="宋体"/>
          <w:b/>
          <w:szCs w:val="24"/>
        </w:rPr>
        <w:t>投保人因重大过失未履行如实告知义务，对保险事故的发生有严重影响的，保险人对于合同解除前发生的保险事故，不承担赔偿责任，</w:t>
      </w:r>
      <w:r>
        <w:rPr>
          <w:rFonts w:hint="eastAsia" w:ascii="宋体" w:hAnsi="宋体" w:eastAsia="宋体" w:cs="宋体"/>
          <w:b/>
          <w:bCs/>
          <w:szCs w:val="24"/>
        </w:rPr>
        <w:t>但应当退还保险费。</w:t>
      </w:r>
    </w:p>
    <w:p>
      <w:pPr>
        <w:pStyle w:val="15"/>
        <w:spacing w:after="156" w:afterLines="50"/>
        <w:ind w:firstLine="482"/>
        <w:rPr>
          <w:rFonts w:ascii="宋体" w:hAnsi="宋体" w:eastAsia="宋体" w:cs="宋体"/>
          <w:b/>
          <w:bCs/>
          <w:szCs w:val="24"/>
        </w:rPr>
      </w:pPr>
      <w:r>
        <w:rPr>
          <w:rFonts w:hint="eastAsia" w:ascii="宋体" w:hAnsi="宋体" w:eastAsia="宋体" w:cs="宋体"/>
          <w:b/>
          <w:szCs w:val="24"/>
        </w:rPr>
        <w:t xml:space="preserve">第二十二条  </w:t>
      </w:r>
      <w:r>
        <w:rPr>
          <w:rFonts w:hint="eastAsia" w:ascii="宋体" w:hAnsi="宋体" w:eastAsia="宋体" w:cs="宋体"/>
          <w:bCs/>
          <w:szCs w:val="24"/>
        </w:rPr>
        <w:t>投保人应按约定交付保险费。</w:t>
      </w:r>
    </w:p>
    <w:p>
      <w:pPr>
        <w:pStyle w:val="15"/>
        <w:spacing w:after="156" w:afterLines="50"/>
        <w:rPr>
          <w:rFonts w:ascii="宋体" w:hAnsi="宋体" w:eastAsia="宋体" w:cs="宋体"/>
          <w:b/>
          <w:bCs/>
          <w:szCs w:val="24"/>
        </w:rPr>
      </w:pPr>
      <w:r>
        <w:rPr>
          <w:rFonts w:hint="eastAsia" w:ascii="宋体" w:hAnsi="宋体" w:eastAsia="宋体" w:cs="宋体"/>
          <w:bCs/>
          <w:szCs w:val="24"/>
        </w:rPr>
        <w:t>约定一次性交付保险费的，</w:t>
      </w:r>
      <w:r>
        <w:rPr>
          <w:rFonts w:hint="eastAsia" w:ascii="宋体" w:hAnsi="宋体" w:eastAsia="宋体" w:cs="宋体"/>
          <w:b/>
          <w:bCs/>
          <w:szCs w:val="24"/>
        </w:rPr>
        <w:t>投保人在约定交费日后交付保险费的，保险人对交费之前发生的保险事故不承担保险责任。</w:t>
      </w:r>
    </w:p>
    <w:p>
      <w:pPr>
        <w:pStyle w:val="15"/>
        <w:spacing w:after="156" w:afterLines="50"/>
        <w:rPr>
          <w:rFonts w:ascii="宋体" w:hAnsi="宋体" w:eastAsia="宋体" w:cs="宋体"/>
          <w:b/>
          <w:bCs/>
          <w:szCs w:val="24"/>
        </w:rPr>
      </w:pPr>
      <w:r>
        <w:rPr>
          <w:rFonts w:hint="eastAsia" w:ascii="宋体" w:hAnsi="宋体" w:eastAsia="宋体" w:cs="宋体"/>
          <w:bCs/>
          <w:szCs w:val="24"/>
        </w:rPr>
        <w:t>约定分期交付保险费的，</w:t>
      </w:r>
      <w:r>
        <w:rPr>
          <w:rFonts w:hint="eastAsia" w:ascii="宋体" w:hAnsi="宋体" w:eastAsia="宋体" w:cs="宋体"/>
          <w:b/>
          <w:bCs/>
          <w:szCs w:val="24"/>
        </w:rPr>
        <w:t>保险人按照保险事故发生前保险人实际收取保险费总额与投保人应当交付的保险费的比例承担保险责任，</w:t>
      </w:r>
      <w:r>
        <w:rPr>
          <w:rFonts w:hint="eastAsia" w:ascii="宋体" w:hAnsi="宋体" w:eastAsia="宋体" w:cs="宋体"/>
          <w:bCs/>
          <w:szCs w:val="24"/>
        </w:rPr>
        <w:t>投保人应当交付的保险费是指截至保险事故发生时投保人按约定分期应该缴纳的保费总额。</w:t>
      </w:r>
    </w:p>
    <w:p>
      <w:pPr>
        <w:pStyle w:val="15"/>
        <w:spacing w:after="156" w:afterLines="50"/>
        <w:ind w:firstLine="482"/>
        <w:rPr>
          <w:rFonts w:ascii="宋体" w:hAnsi="宋体" w:eastAsia="宋体" w:cs="宋体"/>
          <w:bCs/>
          <w:szCs w:val="24"/>
        </w:rPr>
      </w:pPr>
      <w:r>
        <w:rPr>
          <w:rFonts w:hint="eastAsia" w:ascii="宋体" w:hAnsi="宋体" w:eastAsia="宋体" w:cs="宋体"/>
          <w:b/>
          <w:bCs/>
          <w:szCs w:val="24"/>
        </w:rPr>
        <w:t>第二十三条</w:t>
      </w:r>
      <w:r>
        <w:rPr>
          <w:rFonts w:hint="eastAsia" w:ascii="宋体" w:hAnsi="宋体" w:eastAsia="宋体" w:cs="宋体"/>
          <w:szCs w:val="24"/>
        </w:rPr>
        <w:t xml:space="preserve">  </w:t>
      </w:r>
      <w:r>
        <w:rPr>
          <w:rFonts w:hint="eastAsia" w:ascii="宋体" w:hAnsi="宋体" w:eastAsia="宋体" w:cs="宋体"/>
          <w:bCs/>
          <w:szCs w:val="24"/>
        </w:rPr>
        <w:t>被保险人应当遵守国家有关消防、安全、生产操作、劳动保护等方面的相关法律、法规及规定，加强管理，采取合理的预防措施，尽力避免或减少责任事故的发生，维护保险标的的安全。</w:t>
      </w:r>
    </w:p>
    <w:p>
      <w:pPr>
        <w:adjustRightInd w:val="0"/>
        <w:snapToGrid w:val="0"/>
        <w:spacing w:after="156" w:afterLines="50"/>
        <w:ind w:firstLine="480" w:firstLineChars="200"/>
        <w:rPr>
          <w:rFonts w:ascii="宋体" w:hAnsi="宋体" w:cs="宋体"/>
          <w:sz w:val="24"/>
          <w:szCs w:val="24"/>
        </w:rPr>
      </w:pPr>
      <w:r>
        <w:rPr>
          <w:rFonts w:hint="eastAsia" w:ascii="宋体" w:hAnsi="宋体" w:cs="宋体"/>
          <w:sz w:val="24"/>
          <w:szCs w:val="24"/>
        </w:rPr>
        <w:t>保险人可以对被保险人遵守前款约定的情况进行检查，向投保人、被保险人提出消除不安全因素和隐患的书面建议，投保人、被保险人应该认真付诸实施。</w:t>
      </w:r>
    </w:p>
    <w:p>
      <w:pPr>
        <w:pStyle w:val="15"/>
        <w:spacing w:after="156" w:afterLines="50"/>
        <w:rPr>
          <w:rFonts w:ascii="宋体" w:hAnsi="宋体" w:eastAsia="宋体" w:cs="宋体"/>
          <w:szCs w:val="24"/>
        </w:rPr>
      </w:pPr>
      <w:r>
        <w:rPr>
          <w:rFonts w:hint="eastAsia" w:ascii="宋体" w:hAnsi="宋体" w:eastAsia="宋体" w:cs="宋体"/>
          <w:szCs w:val="24"/>
        </w:rPr>
        <w:t>投保人、被保险人未按照约定履行其对保险标的的安全应尽责任的，保险人有权要求增加保险费或者解除合同。</w:t>
      </w:r>
    </w:p>
    <w:p>
      <w:pPr>
        <w:pStyle w:val="15"/>
        <w:spacing w:after="156" w:afterLines="50"/>
        <w:ind w:firstLine="482"/>
        <w:rPr>
          <w:rStyle w:val="34"/>
          <w:rFonts w:ascii="宋体" w:hAnsi="宋体" w:eastAsia="宋体" w:cs="宋体"/>
          <w:bCs/>
          <w:szCs w:val="24"/>
        </w:rPr>
      </w:pPr>
      <w:r>
        <w:rPr>
          <w:rFonts w:hint="eastAsia" w:ascii="宋体" w:hAnsi="宋体" w:eastAsia="宋体" w:cs="宋体"/>
          <w:b/>
          <w:bCs/>
          <w:szCs w:val="24"/>
        </w:rPr>
        <w:t>第二十四条</w:t>
      </w:r>
      <w:r>
        <w:rPr>
          <w:rFonts w:hint="eastAsia" w:ascii="宋体" w:hAnsi="宋体" w:eastAsia="宋体" w:cs="宋体"/>
          <w:szCs w:val="24"/>
        </w:rPr>
        <w:t xml:space="preserve">  </w:t>
      </w:r>
      <w:r>
        <w:rPr>
          <w:rStyle w:val="34"/>
          <w:rFonts w:hint="eastAsia" w:ascii="宋体" w:hAnsi="宋体" w:eastAsia="宋体" w:cs="宋体"/>
          <w:color w:val="000000"/>
          <w:szCs w:val="24"/>
        </w:rPr>
        <w:t>保险标的转让的，被保险人或者受让人应当及时通知保险人。</w:t>
      </w:r>
    </w:p>
    <w:p>
      <w:pPr>
        <w:pStyle w:val="15"/>
        <w:spacing w:after="156" w:afterLines="50"/>
        <w:rPr>
          <w:rFonts w:ascii="宋体" w:hAnsi="宋体" w:eastAsia="宋体" w:cs="宋体"/>
          <w:szCs w:val="24"/>
        </w:rPr>
      </w:pPr>
      <w:r>
        <w:rPr>
          <w:rFonts w:hint="eastAsia" w:ascii="宋体" w:hAnsi="宋体" w:eastAsia="宋体" w:cs="宋体"/>
          <w:szCs w:val="24"/>
        </w:rPr>
        <w:t>因保险标的转让导致危险程度显著增加的，保险人自收到前款规定的通知之日起三十日内，可以按照合同约定增加保险费或者解除合同。</w:t>
      </w:r>
      <w:r>
        <w:rPr>
          <w:rFonts w:hint="eastAsia" w:ascii="宋体" w:hAnsi="宋体" w:eastAsia="宋体" w:cs="宋体"/>
          <w:color w:val="000000"/>
          <w:szCs w:val="24"/>
        </w:rPr>
        <w:t>保险人解除合同的，应当将已收取的保险费，按照合同约定扣除自保险责任开始之日起至合同解除之日止应收的部分后，退还投保人。</w:t>
      </w:r>
    </w:p>
    <w:p>
      <w:pPr>
        <w:pStyle w:val="15"/>
        <w:spacing w:after="156" w:afterLines="50"/>
        <w:ind w:firstLine="482"/>
        <w:rPr>
          <w:rFonts w:ascii="宋体" w:hAnsi="宋体" w:eastAsia="宋体" w:cs="宋体"/>
          <w:b/>
          <w:szCs w:val="24"/>
        </w:rPr>
      </w:pPr>
      <w:r>
        <w:rPr>
          <w:rStyle w:val="34"/>
          <w:rFonts w:hint="eastAsia" w:ascii="宋体" w:hAnsi="宋体" w:eastAsia="宋体" w:cs="宋体"/>
          <w:b/>
          <w:color w:val="000000"/>
          <w:szCs w:val="24"/>
        </w:rPr>
        <w:t>被保险人、受让人未履行本条规定的通知义务的，因转让导致保险标的危险程度显著增加而发生的保险事故，保险人不承担赔偿责任。</w:t>
      </w:r>
    </w:p>
    <w:p>
      <w:pPr>
        <w:pStyle w:val="15"/>
        <w:spacing w:after="156" w:afterLines="50"/>
        <w:ind w:firstLine="482"/>
        <w:rPr>
          <w:rFonts w:ascii="宋体" w:hAnsi="宋体" w:eastAsia="宋体" w:cs="宋体"/>
          <w:bCs/>
          <w:szCs w:val="24"/>
        </w:rPr>
      </w:pPr>
      <w:r>
        <w:rPr>
          <w:rFonts w:hint="eastAsia" w:ascii="宋体" w:hAnsi="宋体" w:eastAsia="宋体" w:cs="宋体"/>
          <w:b/>
          <w:bCs/>
          <w:szCs w:val="24"/>
        </w:rPr>
        <w:t>第二十五条</w:t>
      </w:r>
      <w:r>
        <w:rPr>
          <w:rFonts w:hint="eastAsia" w:ascii="宋体" w:hAnsi="宋体" w:eastAsia="宋体" w:cs="宋体"/>
          <w:szCs w:val="24"/>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pPr>
        <w:spacing w:after="156" w:afterLines="50"/>
        <w:ind w:firstLine="479" w:firstLineChars="199"/>
        <w:rPr>
          <w:rFonts w:ascii="宋体" w:hAnsi="宋体" w:cs="宋体"/>
          <w:b/>
          <w:sz w:val="24"/>
          <w:szCs w:val="24"/>
        </w:rPr>
      </w:pPr>
      <w:r>
        <w:rPr>
          <w:rFonts w:hint="eastAsia" w:ascii="宋体" w:hAnsi="宋体" w:cs="宋体"/>
          <w:b/>
          <w:sz w:val="24"/>
          <w:szCs w:val="24"/>
        </w:rPr>
        <w:t>被保险人未履行前款约定的通知义务的，因保险标的的危险程度显著增加而发生的保险事故，保险人不承担赔偿责任。</w:t>
      </w:r>
    </w:p>
    <w:p>
      <w:pPr>
        <w:spacing w:after="156" w:afterLines="50"/>
        <w:ind w:firstLine="479" w:firstLineChars="199"/>
        <w:rPr>
          <w:rFonts w:ascii="宋体" w:hAnsi="宋体" w:cs="宋体"/>
          <w:sz w:val="24"/>
          <w:szCs w:val="24"/>
        </w:rPr>
      </w:pPr>
      <w:r>
        <w:rPr>
          <w:rFonts w:hint="eastAsia" w:ascii="宋体" w:hAnsi="宋体" w:cs="宋体"/>
          <w:b/>
          <w:sz w:val="24"/>
          <w:szCs w:val="24"/>
        </w:rPr>
        <w:t>第二十六条</w:t>
      </w:r>
      <w:r>
        <w:rPr>
          <w:rFonts w:hint="eastAsia" w:ascii="宋体" w:hAnsi="宋体" w:cs="宋体"/>
          <w:sz w:val="24"/>
          <w:szCs w:val="24"/>
        </w:rPr>
        <w:t xml:space="preserve">  知道保险事故发生后，被保险人应该：</w:t>
      </w:r>
    </w:p>
    <w:p>
      <w:pPr>
        <w:spacing w:after="156" w:afterLines="50"/>
        <w:ind w:firstLine="480" w:firstLineChars="200"/>
        <w:rPr>
          <w:rFonts w:ascii="宋体" w:hAnsi="宋体" w:cs="宋体"/>
          <w:sz w:val="24"/>
          <w:szCs w:val="24"/>
        </w:rPr>
      </w:pPr>
      <w:r>
        <w:rPr>
          <w:rFonts w:hint="eastAsia" w:ascii="宋体" w:hAnsi="宋体" w:cs="宋体"/>
          <w:sz w:val="24"/>
          <w:szCs w:val="24"/>
        </w:rPr>
        <w:t>（一）尽力采取必要、合理的措施，防止或减少损失，否则，</w:t>
      </w:r>
      <w:r>
        <w:rPr>
          <w:rFonts w:hint="eastAsia" w:ascii="宋体" w:hAnsi="宋体" w:cs="宋体"/>
          <w:b/>
          <w:sz w:val="24"/>
          <w:szCs w:val="24"/>
        </w:rPr>
        <w:t>对因此扩大的损失，保险人不承担赔偿责任；</w:t>
      </w:r>
    </w:p>
    <w:p>
      <w:pPr>
        <w:spacing w:after="156" w:afterLines="50"/>
        <w:ind w:firstLine="480" w:firstLineChars="200"/>
        <w:rPr>
          <w:rFonts w:ascii="宋体" w:hAnsi="宋体" w:cs="宋体"/>
          <w:sz w:val="24"/>
          <w:szCs w:val="24"/>
        </w:rPr>
      </w:pPr>
      <w:r>
        <w:rPr>
          <w:rFonts w:hint="eastAsia" w:ascii="宋体" w:hAnsi="宋体" w:cs="宋体"/>
          <w:sz w:val="24"/>
          <w:szCs w:val="24"/>
        </w:rPr>
        <w:t>（二）立即通知保险人，并书面说明事故发生的原因、经过和损失情况；</w:t>
      </w:r>
      <w:r>
        <w:rPr>
          <w:rStyle w:val="34"/>
          <w:rFonts w:hint="eastAsia" w:ascii="宋体" w:hAnsi="宋体" w:cs="宋体"/>
          <w:b/>
          <w:color w:val="000000"/>
          <w:sz w:val="24"/>
          <w:szCs w:val="24"/>
        </w:rPr>
        <w:t>故意或者因重大过失未及时通知，致使保险事故的性质、原因、损失程度等难以确定的，保险人对无法确定的部分，不承担赔偿责任，但保险人通过其他途径已经及时知道或者应当及时知道保险事故发生的除外；</w:t>
      </w:r>
    </w:p>
    <w:p>
      <w:pPr>
        <w:spacing w:after="156" w:afterLines="50"/>
        <w:ind w:firstLine="480" w:firstLineChars="200"/>
        <w:rPr>
          <w:rFonts w:ascii="宋体" w:hAnsi="宋体" w:cs="宋体"/>
          <w:bCs/>
          <w:sz w:val="24"/>
          <w:szCs w:val="24"/>
        </w:rPr>
      </w:pPr>
      <w:r>
        <w:rPr>
          <w:rFonts w:hint="eastAsia" w:ascii="宋体" w:hAnsi="宋体" w:cs="宋体"/>
          <w:bCs/>
          <w:sz w:val="24"/>
          <w:szCs w:val="24"/>
        </w:rPr>
        <w:t>（三）保护事故现场，允许并且协助保险人进行事故调查；</w:t>
      </w:r>
      <w:r>
        <w:rPr>
          <w:rFonts w:hint="eastAsia" w:ascii="宋体" w:hAnsi="宋体" w:cs="宋体"/>
          <w:b/>
          <w:bCs/>
          <w:sz w:val="24"/>
          <w:szCs w:val="24"/>
        </w:rPr>
        <w:t>对于拒绝或者妨碍保险人进行事故调查导致无法确定事故原因或核实损失情况的，保险人对无法核实的部分不承担赔偿责任。</w:t>
      </w:r>
    </w:p>
    <w:p>
      <w:pPr>
        <w:spacing w:after="156" w:afterLines="50"/>
        <w:ind w:firstLine="479" w:firstLineChars="199"/>
        <w:rPr>
          <w:rFonts w:ascii="宋体" w:hAnsi="宋体" w:cs="宋体"/>
          <w:sz w:val="24"/>
          <w:szCs w:val="24"/>
        </w:rPr>
      </w:pPr>
      <w:r>
        <w:rPr>
          <w:rFonts w:hint="eastAsia" w:ascii="宋体" w:hAnsi="宋体" w:cs="宋体"/>
          <w:b/>
          <w:sz w:val="24"/>
          <w:szCs w:val="24"/>
        </w:rPr>
        <w:t xml:space="preserve">第二十七条  </w:t>
      </w:r>
      <w:r>
        <w:rPr>
          <w:rFonts w:hint="eastAsia" w:ascii="宋体" w:hAnsi="宋体" w:cs="宋体"/>
          <w:sz w:val="24"/>
          <w:szCs w:val="24"/>
        </w:rPr>
        <w:t>被保险人请求赔偿时，应向保险人提供下列证明和资料：</w:t>
      </w:r>
    </w:p>
    <w:p>
      <w:pPr>
        <w:spacing w:after="156" w:afterLines="50"/>
        <w:ind w:firstLine="477" w:firstLineChars="199"/>
        <w:rPr>
          <w:rFonts w:ascii="宋体" w:hAnsi="宋体" w:cs="宋体"/>
          <w:sz w:val="24"/>
          <w:szCs w:val="24"/>
        </w:rPr>
      </w:pPr>
      <w:r>
        <w:rPr>
          <w:rFonts w:hint="eastAsia" w:ascii="宋体" w:hAnsi="宋体" w:cs="宋体"/>
          <w:sz w:val="24"/>
          <w:szCs w:val="24"/>
        </w:rPr>
        <w:t>（一）保险单正本、索赔申请、财产损失清单、技术鉴定证明、事故报告书、救护费用发票、必要的帐簿、单据和有关部门的证明；</w:t>
      </w:r>
    </w:p>
    <w:p>
      <w:pPr>
        <w:spacing w:after="156" w:afterLines="50"/>
        <w:ind w:firstLine="477" w:firstLineChars="199"/>
        <w:rPr>
          <w:rFonts w:ascii="宋体" w:hAnsi="宋体" w:cs="宋体"/>
          <w:sz w:val="24"/>
          <w:szCs w:val="24"/>
        </w:rPr>
      </w:pPr>
      <w:r>
        <w:rPr>
          <w:rFonts w:hint="eastAsia" w:ascii="宋体" w:hAnsi="宋体" w:cs="宋体"/>
          <w:sz w:val="24"/>
          <w:szCs w:val="24"/>
        </w:rPr>
        <w:t>（二）投保人、被保险人所能提供的与确认保险事故的性质、原因、损失程度等有关的其他证明和资料。</w:t>
      </w:r>
    </w:p>
    <w:p>
      <w:pPr>
        <w:spacing w:after="156" w:afterLines="50"/>
        <w:ind w:firstLine="479" w:firstLineChars="199"/>
        <w:rPr>
          <w:rFonts w:ascii="宋体" w:hAnsi="宋体" w:cs="宋体"/>
          <w:sz w:val="24"/>
          <w:szCs w:val="24"/>
        </w:rPr>
      </w:pPr>
      <w:r>
        <w:rPr>
          <w:rFonts w:hint="eastAsia" w:ascii="宋体" w:hAnsi="宋体" w:cs="宋体"/>
          <w:b/>
          <w:sz w:val="24"/>
          <w:szCs w:val="24"/>
        </w:rPr>
        <w:t>投保人、被保险人未履行前款约定的单证提供义务，导致保险人无法核实损失情况的，保险人对无法核实的部分不承担赔偿责任。</w:t>
      </w:r>
    </w:p>
    <w:p>
      <w:pPr>
        <w:spacing w:after="156" w:afterLines="50"/>
        <w:jc w:val="center"/>
        <w:rPr>
          <w:rFonts w:ascii="宋体" w:hAnsi="宋体" w:cs="宋体"/>
          <w:b/>
          <w:bCs/>
          <w:sz w:val="24"/>
          <w:szCs w:val="24"/>
        </w:rPr>
      </w:pPr>
      <w:r>
        <w:rPr>
          <w:rFonts w:hint="eastAsia" w:ascii="宋体" w:hAnsi="宋体" w:cs="宋体"/>
          <w:b/>
          <w:bCs/>
          <w:sz w:val="24"/>
          <w:szCs w:val="24"/>
        </w:rPr>
        <w:t>赔偿处理</w:t>
      </w:r>
    </w:p>
    <w:p>
      <w:pPr>
        <w:spacing w:after="156" w:afterLines="50"/>
        <w:ind w:firstLine="482" w:firstLineChars="200"/>
        <w:rPr>
          <w:rFonts w:ascii="宋体" w:hAnsi="宋体" w:cs="宋体"/>
          <w:sz w:val="24"/>
          <w:szCs w:val="24"/>
        </w:rPr>
      </w:pPr>
      <w:r>
        <w:rPr>
          <w:rFonts w:hint="eastAsia" w:ascii="宋体" w:hAnsi="宋体" w:cs="宋体"/>
          <w:b/>
          <w:sz w:val="24"/>
          <w:szCs w:val="24"/>
        </w:rPr>
        <w:t>第二十八条</w:t>
      </w:r>
      <w:r>
        <w:rPr>
          <w:rFonts w:hint="eastAsia" w:ascii="宋体" w:hAnsi="宋体" w:cs="宋体"/>
          <w:sz w:val="24"/>
          <w:szCs w:val="24"/>
        </w:rPr>
        <w:t xml:space="preserve">  </w:t>
      </w:r>
      <w:r>
        <w:rPr>
          <w:rStyle w:val="34"/>
          <w:rFonts w:hint="eastAsia" w:ascii="宋体" w:hAnsi="宋体" w:cs="宋体"/>
          <w:b/>
          <w:color w:val="000000"/>
          <w:sz w:val="24"/>
          <w:szCs w:val="24"/>
        </w:rPr>
        <w:t>保险事故发生时，被保险人对保险标的不具有保险利益的，不得向保险人请求赔偿保险金。</w:t>
      </w:r>
    </w:p>
    <w:p>
      <w:pPr>
        <w:spacing w:after="156" w:afterLines="50"/>
        <w:ind w:firstLine="482" w:firstLineChars="200"/>
        <w:rPr>
          <w:rFonts w:ascii="宋体" w:hAnsi="宋体" w:cs="宋体"/>
          <w:sz w:val="24"/>
          <w:szCs w:val="24"/>
        </w:rPr>
      </w:pPr>
      <w:r>
        <w:rPr>
          <w:rFonts w:hint="eastAsia" w:ascii="宋体" w:hAnsi="宋体" w:cs="宋体"/>
          <w:b/>
          <w:sz w:val="24"/>
          <w:szCs w:val="24"/>
        </w:rPr>
        <w:t>第二十九条</w:t>
      </w:r>
      <w:r>
        <w:rPr>
          <w:rFonts w:hint="eastAsia" w:ascii="宋体" w:hAnsi="宋体" w:cs="宋体"/>
          <w:sz w:val="24"/>
          <w:szCs w:val="24"/>
        </w:rPr>
        <w:t xml:space="preserve">  保险标的发生保险责任范围内的损失，保险人有权选择下列方式赔偿：</w:t>
      </w:r>
    </w:p>
    <w:p>
      <w:pPr>
        <w:spacing w:after="156" w:afterLines="50"/>
        <w:ind w:firstLine="480" w:firstLineChars="200"/>
        <w:rPr>
          <w:rFonts w:ascii="宋体" w:hAnsi="宋体" w:cs="宋体"/>
          <w:sz w:val="24"/>
          <w:szCs w:val="24"/>
        </w:rPr>
      </w:pPr>
      <w:r>
        <w:rPr>
          <w:rFonts w:hint="eastAsia" w:ascii="宋体" w:hAnsi="宋体" w:cs="宋体"/>
          <w:sz w:val="24"/>
          <w:szCs w:val="24"/>
        </w:rPr>
        <w:t>（一）货币赔偿：保险人以支付保险金的方式赔偿；</w:t>
      </w:r>
    </w:p>
    <w:p>
      <w:pPr>
        <w:spacing w:after="156" w:afterLines="50"/>
        <w:ind w:firstLine="480" w:firstLineChars="200"/>
        <w:rPr>
          <w:rFonts w:ascii="宋体" w:hAnsi="宋体" w:cs="宋体"/>
          <w:sz w:val="24"/>
          <w:szCs w:val="24"/>
        </w:rPr>
      </w:pPr>
      <w:r>
        <w:rPr>
          <w:rFonts w:hint="eastAsia" w:ascii="宋体" w:hAnsi="宋体" w:cs="宋体"/>
          <w:sz w:val="24"/>
          <w:szCs w:val="24"/>
        </w:rPr>
        <w:t>（二）实物赔偿：保险人以实物替换受损标的，该实物应具有保险标的出险前同等的类型、结构、状态和性能；</w:t>
      </w:r>
    </w:p>
    <w:p>
      <w:pPr>
        <w:spacing w:after="156" w:afterLines="50"/>
        <w:ind w:firstLine="480" w:firstLineChars="200"/>
        <w:rPr>
          <w:rFonts w:ascii="宋体" w:hAnsi="宋体" w:cs="宋体"/>
          <w:sz w:val="24"/>
          <w:szCs w:val="24"/>
        </w:rPr>
      </w:pPr>
      <w:r>
        <w:rPr>
          <w:rFonts w:hint="eastAsia" w:ascii="宋体" w:hAnsi="宋体" w:cs="宋体"/>
          <w:sz w:val="24"/>
          <w:szCs w:val="24"/>
        </w:rPr>
        <w:t>（三）实际修复：保险人自行或委托他人修理修复受损标的。</w:t>
      </w:r>
    </w:p>
    <w:p>
      <w:pPr>
        <w:spacing w:after="156" w:afterLines="50"/>
        <w:ind w:firstLine="482" w:firstLineChars="200"/>
        <w:rPr>
          <w:rFonts w:ascii="宋体" w:hAnsi="宋体" w:cs="宋体"/>
          <w:b/>
          <w:sz w:val="24"/>
          <w:szCs w:val="24"/>
        </w:rPr>
      </w:pPr>
      <w:r>
        <w:rPr>
          <w:rFonts w:hint="eastAsia" w:ascii="宋体" w:hAnsi="宋体" w:cs="宋体"/>
          <w:b/>
          <w:sz w:val="24"/>
          <w:szCs w:val="24"/>
        </w:rPr>
        <w:t>对保险标的在修复或替换过程中，被保险人进行的任何变更、性能增加或改进所产生的额外费用，保险人不负责赔偿。</w:t>
      </w:r>
    </w:p>
    <w:p>
      <w:pPr>
        <w:pStyle w:val="11"/>
        <w:adjustRightInd w:val="0"/>
        <w:snapToGrid w:val="0"/>
        <w:spacing w:after="156" w:afterLines="50"/>
        <w:ind w:firstLine="602"/>
        <w:rPr>
          <w:rFonts w:ascii="宋体" w:hAnsi="宋体" w:eastAsia="宋体" w:cs="宋体"/>
          <w:szCs w:val="24"/>
        </w:rPr>
      </w:pPr>
      <w:r>
        <w:rPr>
          <w:rFonts w:hint="eastAsia" w:ascii="宋体" w:hAnsi="宋体" w:eastAsia="宋体" w:cs="宋体"/>
          <w:b/>
          <w:szCs w:val="24"/>
        </w:rPr>
        <w:t>第三十条</w:t>
      </w:r>
      <w:r>
        <w:rPr>
          <w:rFonts w:hint="eastAsia" w:ascii="宋体" w:hAnsi="宋体" w:eastAsia="宋体" w:cs="宋体"/>
          <w:szCs w:val="24"/>
        </w:rPr>
        <w:t xml:space="preserve">  保险标的遭受损失后，如果有残余价值，应由双方协商处理。如折归被保险人，由双方协商确定其价值，并在保险赔款中扣除。</w:t>
      </w:r>
    </w:p>
    <w:p>
      <w:pPr>
        <w:spacing w:after="156" w:afterLines="50"/>
        <w:ind w:firstLine="482" w:firstLineChars="200"/>
        <w:rPr>
          <w:rFonts w:ascii="宋体" w:hAnsi="宋体" w:cs="宋体"/>
          <w:sz w:val="24"/>
          <w:szCs w:val="24"/>
        </w:rPr>
      </w:pPr>
      <w:r>
        <w:rPr>
          <w:rFonts w:hint="eastAsia" w:ascii="宋体" w:hAnsi="宋体" w:cs="宋体"/>
          <w:b/>
          <w:sz w:val="24"/>
          <w:szCs w:val="24"/>
        </w:rPr>
        <w:t>第三十一条</w:t>
      </w:r>
      <w:r>
        <w:rPr>
          <w:rFonts w:hint="eastAsia" w:ascii="宋体" w:hAnsi="宋体" w:cs="宋体"/>
          <w:sz w:val="24"/>
          <w:szCs w:val="24"/>
        </w:rPr>
        <w:t xml:space="preserve">  保险标的发生保险责任范围内的损失，保险人按以下方式计算赔偿：</w:t>
      </w:r>
    </w:p>
    <w:p>
      <w:pPr>
        <w:pStyle w:val="11"/>
        <w:spacing w:after="156" w:afterLines="50"/>
        <w:rPr>
          <w:rFonts w:ascii="宋体" w:hAnsi="宋体" w:eastAsia="宋体" w:cs="宋体"/>
          <w:szCs w:val="24"/>
        </w:rPr>
      </w:pPr>
      <w:r>
        <w:rPr>
          <w:rFonts w:hint="eastAsia" w:ascii="宋体" w:hAnsi="宋体" w:eastAsia="宋体" w:cs="宋体"/>
          <w:szCs w:val="24"/>
        </w:rPr>
        <w:t>（一）保险金额等于或高于保险价值时，按实际损失计算赔偿，最高不超过保险价值；</w:t>
      </w:r>
    </w:p>
    <w:p>
      <w:pPr>
        <w:pStyle w:val="11"/>
        <w:spacing w:after="156" w:afterLines="50"/>
        <w:rPr>
          <w:rFonts w:ascii="宋体" w:hAnsi="宋体" w:eastAsia="宋体" w:cs="宋体"/>
          <w:szCs w:val="24"/>
        </w:rPr>
      </w:pPr>
      <w:r>
        <w:rPr>
          <w:rFonts w:hint="eastAsia" w:ascii="宋体" w:hAnsi="宋体" w:eastAsia="宋体" w:cs="宋体"/>
          <w:szCs w:val="24"/>
        </w:rPr>
        <w:t>（二）保险金额低于保险价值时，按保险金额与保险价值的比例乘以实际损失计算赔偿，最高不超过保险金额；</w:t>
      </w:r>
    </w:p>
    <w:p>
      <w:pPr>
        <w:pStyle w:val="11"/>
        <w:spacing w:after="156" w:afterLines="50"/>
        <w:rPr>
          <w:rFonts w:ascii="宋体" w:hAnsi="宋体" w:eastAsia="宋体" w:cs="宋体"/>
          <w:szCs w:val="24"/>
        </w:rPr>
      </w:pPr>
      <w:r>
        <w:rPr>
          <w:rFonts w:hint="eastAsia" w:ascii="宋体" w:hAnsi="宋体" w:eastAsia="宋体" w:cs="宋体"/>
          <w:szCs w:val="24"/>
        </w:rPr>
        <w:t>（三）若本保险合同所列标的不止一项时，应分项按照本条约定处理。</w:t>
      </w:r>
    </w:p>
    <w:p>
      <w:pPr>
        <w:pStyle w:val="11"/>
        <w:spacing w:after="156" w:afterLines="50"/>
        <w:ind w:firstLine="602"/>
        <w:rPr>
          <w:rFonts w:ascii="宋体" w:hAnsi="宋体" w:eastAsia="宋体" w:cs="宋体"/>
          <w:szCs w:val="24"/>
        </w:rPr>
      </w:pPr>
      <w:r>
        <w:rPr>
          <w:rFonts w:hint="eastAsia" w:ascii="宋体" w:hAnsi="宋体" w:eastAsia="宋体" w:cs="宋体"/>
          <w:b/>
          <w:szCs w:val="24"/>
        </w:rPr>
        <w:t xml:space="preserve">第三十二条 </w:t>
      </w:r>
      <w:r>
        <w:rPr>
          <w:rFonts w:hint="eastAsia" w:ascii="宋体" w:hAnsi="宋体" w:eastAsia="宋体" w:cs="宋体"/>
          <w:szCs w:val="24"/>
        </w:rPr>
        <w:t xml:space="preserve"> 保险标的的保险金额大于或等于其保险价值时，被保险人为防止或减少保险标的的损失所支付的必要的、合理的费用，在保险标的损失赔偿金额之外另行计算，最高不超过被施救保险标的的保险价值。</w:t>
      </w:r>
    </w:p>
    <w:p>
      <w:pPr>
        <w:pStyle w:val="11"/>
        <w:spacing w:after="156" w:afterLines="50"/>
        <w:rPr>
          <w:rFonts w:ascii="宋体" w:hAnsi="宋体" w:eastAsia="宋体" w:cs="宋体"/>
          <w:szCs w:val="24"/>
        </w:rPr>
      </w:pPr>
      <w:r>
        <w:rPr>
          <w:rFonts w:hint="eastAsia" w:ascii="宋体" w:hAnsi="宋体" w:eastAsia="宋体" w:cs="宋体"/>
          <w:szCs w:val="24"/>
        </w:rPr>
        <w:t>保险标的的保险金额小于其保险价值时，上述费用按被施救保险标的的保险金额与其保险价值的比例在保险标的损失赔偿金额之外另行计算，最高不超过被施救保险标的的保险金额。</w:t>
      </w:r>
    </w:p>
    <w:p>
      <w:pPr>
        <w:pStyle w:val="11"/>
        <w:spacing w:after="156" w:afterLines="50"/>
        <w:rPr>
          <w:rFonts w:ascii="宋体" w:hAnsi="宋体" w:eastAsia="宋体" w:cs="宋体"/>
          <w:szCs w:val="24"/>
        </w:rPr>
      </w:pPr>
      <w:r>
        <w:rPr>
          <w:rFonts w:hint="eastAsia" w:ascii="宋体" w:hAnsi="宋体" w:eastAsia="宋体" w:cs="宋体"/>
          <w:szCs w:val="24"/>
        </w:rPr>
        <w:t>被施救的财产中，含有本保险合同未承保财产的，按被施救保险标的的保险价值与全部被施救财产价值的比例分摊施救费用。</w:t>
      </w:r>
    </w:p>
    <w:p>
      <w:pPr>
        <w:pStyle w:val="11"/>
        <w:spacing w:after="156" w:afterLines="50"/>
        <w:ind w:firstLine="602"/>
        <w:rPr>
          <w:rFonts w:ascii="宋体" w:hAnsi="宋体" w:eastAsia="宋体" w:cs="宋体"/>
          <w:szCs w:val="24"/>
        </w:rPr>
      </w:pPr>
      <w:r>
        <w:rPr>
          <w:rFonts w:hint="eastAsia" w:ascii="宋体" w:hAnsi="宋体" w:eastAsia="宋体" w:cs="宋体"/>
          <w:b/>
          <w:szCs w:val="24"/>
        </w:rPr>
        <w:t xml:space="preserve">第三十三条  </w:t>
      </w:r>
      <w:r>
        <w:rPr>
          <w:rFonts w:hint="eastAsia" w:ascii="宋体" w:hAnsi="宋体" w:eastAsia="宋体" w:cs="宋体"/>
          <w:szCs w:val="24"/>
        </w:rPr>
        <w:t>每次事故保险人的赔偿金额为根据第三十一条、第三十二条约定计算的金额扣除每次事故免赔额后的金额，或者为根据第三十一条、第三十二条约定计算的金额扣除该金额与免赔率乘积后的金额。</w:t>
      </w:r>
    </w:p>
    <w:p>
      <w:pPr>
        <w:adjustRightInd w:val="0"/>
        <w:snapToGrid w:val="0"/>
        <w:spacing w:after="156" w:afterLines="50"/>
        <w:ind w:firstLine="479" w:firstLineChars="199"/>
        <w:rPr>
          <w:rFonts w:ascii="宋体" w:hAnsi="宋体" w:cs="宋体"/>
          <w:sz w:val="24"/>
          <w:szCs w:val="24"/>
        </w:rPr>
      </w:pPr>
      <w:r>
        <w:rPr>
          <w:rFonts w:hint="eastAsia" w:ascii="宋体" w:hAnsi="宋体" w:cs="宋体"/>
          <w:b/>
          <w:sz w:val="24"/>
          <w:szCs w:val="24"/>
        </w:rPr>
        <w:t>第三十四条</w:t>
      </w:r>
      <w:r>
        <w:rPr>
          <w:rFonts w:hint="eastAsia" w:ascii="宋体" w:hAnsi="宋体" w:cs="宋体"/>
          <w:sz w:val="24"/>
          <w:szCs w:val="24"/>
        </w:rPr>
        <w:t xml:space="preserve">  保险事故发生时，如果存在重复保险，保险人按照本保险合同的相应保险金额与其他保险合同及本保险合同相应保险金额总和的比例承担赔偿责任。</w:t>
      </w:r>
    </w:p>
    <w:p>
      <w:pPr>
        <w:adjustRightInd w:val="0"/>
        <w:snapToGrid w:val="0"/>
        <w:spacing w:after="156" w:afterLines="50"/>
        <w:ind w:firstLine="479" w:firstLineChars="199"/>
        <w:rPr>
          <w:rFonts w:ascii="宋体" w:hAnsi="宋体" w:cs="宋体"/>
          <w:sz w:val="24"/>
          <w:szCs w:val="24"/>
        </w:rPr>
      </w:pPr>
      <w:r>
        <w:rPr>
          <w:rFonts w:hint="eastAsia" w:ascii="宋体" w:hAnsi="宋体" w:cs="宋体"/>
          <w:b/>
          <w:sz w:val="24"/>
          <w:szCs w:val="24"/>
        </w:rPr>
        <w:t>其他保险人应承担的赔偿金额，本保险人不负责垫付。若被保险人未如实告知导致保险人多支付赔偿金的，保险人有权向被保险人追回多支付的部分。</w:t>
      </w:r>
    </w:p>
    <w:p>
      <w:pPr>
        <w:autoSpaceDE w:val="0"/>
        <w:autoSpaceDN w:val="0"/>
        <w:spacing w:after="156" w:afterLines="50"/>
        <w:ind w:firstLine="479" w:firstLineChars="199"/>
        <w:rPr>
          <w:rFonts w:ascii="宋体" w:hAnsi="宋体" w:cs="宋体"/>
          <w:sz w:val="24"/>
          <w:szCs w:val="24"/>
        </w:rPr>
      </w:pPr>
      <w:r>
        <w:rPr>
          <w:rFonts w:hint="eastAsia" w:ascii="宋体" w:hAnsi="宋体" w:cs="宋体"/>
          <w:b/>
          <w:sz w:val="24"/>
          <w:szCs w:val="24"/>
        </w:rPr>
        <w:t>第三十五条</w:t>
      </w:r>
      <w:r>
        <w:rPr>
          <w:rFonts w:hint="eastAsia" w:ascii="宋体" w:hAnsi="宋体" w:cs="宋体"/>
          <w:sz w:val="24"/>
          <w:szCs w:val="24"/>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tabs>
          <w:tab w:val="left" w:pos="2160"/>
        </w:tabs>
        <w:adjustRightInd w:val="0"/>
        <w:snapToGrid w:val="0"/>
        <w:spacing w:after="156" w:afterLines="50"/>
        <w:ind w:firstLine="482" w:firstLineChars="200"/>
        <w:rPr>
          <w:rStyle w:val="34"/>
          <w:rFonts w:ascii="宋体" w:hAnsi="宋体" w:cs="宋体"/>
          <w:color w:val="000000"/>
          <w:sz w:val="24"/>
          <w:szCs w:val="24"/>
        </w:rPr>
      </w:pPr>
      <w:r>
        <w:rPr>
          <w:rFonts w:hint="eastAsia" w:ascii="宋体" w:hAnsi="宋体" w:cs="宋体"/>
          <w:b/>
          <w:sz w:val="24"/>
          <w:szCs w:val="24"/>
        </w:rPr>
        <w:t>第三十六条</w:t>
      </w:r>
      <w:r>
        <w:rPr>
          <w:rFonts w:hint="eastAsia" w:ascii="宋体" w:hAnsi="宋体" w:cs="宋体"/>
          <w:sz w:val="24"/>
          <w:szCs w:val="24"/>
        </w:rPr>
        <w:t xml:space="preserve">  发</w:t>
      </w:r>
      <w:r>
        <w:rPr>
          <w:rStyle w:val="34"/>
          <w:rFonts w:hint="eastAsia" w:ascii="宋体" w:hAnsi="宋体" w:cs="宋体"/>
          <w:color w:val="000000"/>
          <w:sz w:val="24"/>
          <w:szCs w:val="24"/>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56" w:afterLines="50"/>
        <w:ind w:firstLine="480" w:firstLineChars="200"/>
        <w:rPr>
          <w:rStyle w:val="34"/>
          <w:rFonts w:ascii="宋体" w:hAnsi="宋体" w:cs="宋体"/>
          <w:color w:val="000000"/>
          <w:sz w:val="24"/>
          <w:szCs w:val="24"/>
        </w:rPr>
      </w:pPr>
      <w:r>
        <w:rPr>
          <w:rStyle w:val="34"/>
          <w:rFonts w:hint="eastAsia" w:ascii="宋体" w:hAnsi="宋体" w:cs="宋体"/>
          <w:color w:val="000000"/>
          <w:sz w:val="24"/>
          <w:szCs w:val="24"/>
        </w:rPr>
        <w:t>被保险人已经从有关责任方取得赔偿的，保险人赔偿保险金时，可以相应扣减被保险人已从有关责任方取得的赔偿金额。</w:t>
      </w:r>
    </w:p>
    <w:p>
      <w:pPr>
        <w:spacing w:after="156" w:afterLines="50"/>
        <w:ind w:firstLine="479" w:firstLineChars="199"/>
        <w:rPr>
          <w:rStyle w:val="34"/>
          <w:rFonts w:ascii="宋体" w:hAnsi="宋体" w:cs="宋体"/>
          <w:b/>
          <w:color w:val="000000"/>
          <w:sz w:val="24"/>
          <w:szCs w:val="24"/>
        </w:rPr>
      </w:pPr>
      <w:r>
        <w:rPr>
          <w:rStyle w:val="34"/>
          <w:rFonts w:hint="eastAsia" w:ascii="宋体" w:hAnsi="宋体" w:cs="宋体"/>
          <w:b/>
          <w:color w:val="000000"/>
          <w:sz w:val="24"/>
          <w:szCs w:val="24"/>
        </w:rPr>
        <w:t>保险事故发生后，在保险人未赔偿保险金之前，被保险人放弃对有关责任方请求赔偿权利的，保险人不承担赔偿责任；</w:t>
      </w:r>
      <w:r>
        <w:rPr>
          <w:rStyle w:val="34"/>
          <w:rFonts w:hint="eastAsia" w:ascii="宋体" w:hAnsi="宋体" w:cs="宋体"/>
          <w:color w:val="000000"/>
          <w:sz w:val="24"/>
          <w:szCs w:val="24"/>
        </w:rPr>
        <w:t>保险人向被保险人赔偿保险金后，被保险人未经保险人同意放弃对有关责任方请求赔偿权利的，该行为无效；</w:t>
      </w:r>
      <w:r>
        <w:rPr>
          <w:rStyle w:val="34"/>
          <w:rFonts w:hint="eastAsia" w:ascii="宋体" w:hAnsi="宋体" w:cs="宋体"/>
          <w:b/>
          <w:color w:val="000000"/>
          <w:sz w:val="24"/>
          <w:szCs w:val="24"/>
        </w:rPr>
        <w:t>由于被保险人故意或者因重大过失致使保险人不能行使代位请求赔偿的权利的，保险人可以扣减或者要求返还相应的保险金。</w:t>
      </w:r>
    </w:p>
    <w:p>
      <w:pPr>
        <w:spacing w:after="156" w:afterLines="50"/>
        <w:ind w:firstLine="479" w:firstLineChars="199"/>
        <w:rPr>
          <w:rFonts w:ascii="宋体" w:hAnsi="宋体" w:cs="宋体"/>
          <w:sz w:val="24"/>
          <w:szCs w:val="24"/>
        </w:rPr>
      </w:pPr>
      <w:r>
        <w:rPr>
          <w:rFonts w:hint="eastAsia" w:ascii="宋体" w:hAnsi="宋体" w:cs="宋体"/>
          <w:b/>
          <w:sz w:val="24"/>
          <w:szCs w:val="24"/>
        </w:rPr>
        <w:t>第三十七条</w:t>
      </w:r>
      <w:r>
        <w:rPr>
          <w:rFonts w:hint="eastAsia" w:ascii="宋体" w:hAnsi="宋体" w:cs="宋体"/>
          <w:sz w:val="24"/>
          <w:szCs w:val="24"/>
        </w:rPr>
        <w:t xml:space="preserve">  </w:t>
      </w:r>
      <w:r>
        <w:rPr>
          <w:rStyle w:val="34"/>
          <w:rFonts w:hint="eastAsia" w:ascii="宋体" w:hAnsi="宋体" w:cs="宋体"/>
          <w:color w:val="000000"/>
          <w:sz w:val="24"/>
          <w:szCs w:val="24"/>
        </w:rPr>
        <w:t>被保险人向保险人请求赔偿保险金的诉讼时效期间为二年，自其知道或者应当知道保险事故发生之日起计算。</w:t>
      </w:r>
      <w:r>
        <w:rPr>
          <w:rStyle w:val="35"/>
          <w:rFonts w:hint="eastAsia" w:ascii="宋体" w:hAnsi="宋体" w:cs="宋体"/>
          <w:color w:val="000000"/>
          <w:sz w:val="24"/>
          <w:szCs w:val="24"/>
        </w:rPr>
        <w:t> </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争议处理和法律适用</w:t>
      </w:r>
    </w:p>
    <w:p>
      <w:pPr>
        <w:spacing w:after="156" w:afterLines="50"/>
        <w:ind w:firstLine="479" w:firstLineChars="199"/>
        <w:rPr>
          <w:rFonts w:ascii="宋体" w:hAnsi="宋体" w:cs="宋体"/>
          <w:sz w:val="24"/>
          <w:szCs w:val="24"/>
        </w:rPr>
      </w:pPr>
      <w:r>
        <w:rPr>
          <w:rFonts w:hint="eastAsia" w:ascii="宋体" w:hAnsi="宋体" w:cs="宋体"/>
          <w:b/>
          <w:sz w:val="24"/>
          <w:szCs w:val="24"/>
        </w:rPr>
        <w:t>第三十八条</w:t>
      </w:r>
      <w:r>
        <w:rPr>
          <w:rFonts w:hint="eastAsia" w:ascii="宋体" w:hAnsi="宋体" w:cs="宋体"/>
          <w:sz w:val="24"/>
          <w:szCs w:val="24"/>
        </w:rPr>
        <w:t xml:space="preserve">  因履行本保险合同发生的争议，由当事人协商解决。协商不成的，提交保险单载明的仲裁机构仲裁；保险单未载明仲裁机构且争议发生后未达成仲裁协议的，依法向人民法院起诉。</w:t>
      </w:r>
    </w:p>
    <w:p>
      <w:pPr>
        <w:spacing w:after="156" w:afterLines="50"/>
        <w:ind w:firstLine="479" w:firstLineChars="199"/>
        <w:rPr>
          <w:rFonts w:ascii="宋体" w:hAnsi="宋体" w:cs="宋体"/>
          <w:sz w:val="24"/>
          <w:szCs w:val="24"/>
        </w:rPr>
      </w:pPr>
      <w:r>
        <w:rPr>
          <w:rFonts w:hint="eastAsia" w:ascii="宋体" w:hAnsi="宋体" w:cs="宋体"/>
          <w:b/>
          <w:sz w:val="24"/>
          <w:szCs w:val="24"/>
        </w:rPr>
        <w:t>第三十九条</w:t>
      </w:r>
      <w:r>
        <w:rPr>
          <w:rFonts w:hint="eastAsia" w:ascii="宋体" w:hAnsi="宋体" w:cs="宋体"/>
          <w:sz w:val="24"/>
          <w:szCs w:val="24"/>
        </w:rPr>
        <w:t xml:space="preserve">  与本保险合同有关的以及履行本保险合同产生的一切争议，适用中华人民共和国法律（不包括港澳台地区法律）。</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其他事项</w:t>
      </w:r>
    </w:p>
    <w:p>
      <w:pPr>
        <w:spacing w:after="156" w:afterLines="50"/>
        <w:ind w:firstLine="479" w:firstLineChars="199"/>
        <w:rPr>
          <w:rStyle w:val="35"/>
          <w:rFonts w:ascii="宋体" w:hAnsi="宋体" w:cs="宋体"/>
          <w:color w:val="000000"/>
          <w:sz w:val="24"/>
          <w:szCs w:val="24"/>
        </w:rPr>
      </w:pPr>
      <w:r>
        <w:rPr>
          <w:rFonts w:hint="eastAsia" w:ascii="宋体" w:hAnsi="宋体" w:cs="宋体"/>
          <w:b/>
          <w:sz w:val="24"/>
          <w:szCs w:val="24"/>
        </w:rPr>
        <w:t>第四十条</w:t>
      </w:r>
      <w:r>
        <w:rPr>
          <w:rFonts w:hint="eastAsia" w:ascii="宋体" w:hAnsi="宋体" w:cs="宋体"/>
          <w:sz w:val="24"/>
          <w:szCs w:val="24"/>
        </w:rPr>
        <w:t xml:space="preserve">  </w:t>
      </w:r>
      <w:r>
        <w:rPr>
          <w:rStyle w:val="34"/>
          <w:rFonts w:hint="eastAsia" w:ascii="宋体" w:hAnsi="宋体" w:cs="宋体"/>
          <w:color w:val="000000"/>
          <w:sz w:val="24"/>
          <w:szCs w:val="24"/>
        </w:rPr>
        <w:t>保险标的发生部分损失的，自保险人赔偿之日起三十日内，投保人可以解除合同；除合同另有约定外，保险人也可以解除合同，但应当提前十五日通知投保人。</w:t>
      </w:r>
    </w:p>
    <w:p>
      <w:pPr>
        <w:spacing w:after="156" w:afterLines="50"/>
        <w:ind w:firstLine="477" w:firstLineChars="199"/>
        <w:rPr>
          <w:rStyle w:val="34"/>
          <w:rFonts w:ascii="宋体" w:hAnsi="宋体" w:cs="宋体"/>
          <w:sz w:val="24"/>
          <w:szCs w:val="24"/>
        </w:rPr>
      </w:pPr>
      <w:r>
        <w:rPr>
          <w:rFonts w:hint="eastAsia" w:ascii="宋体" w:hAnsi="宋体" w:cs="宋体"/>
          <w:color w:val="000000"/>
          <w:sz w:val="24"/>
          <w:szCs w:val="24"/>
        </w:rPr>
        <w:t>保险合同依据前款规定</w:t>
      </w:r>
      <w:r>
        <w:rPr>
          <w:rStyle w:val="34"/>
          <w:rFonts w:hint="eastAsia" w:ascii="宋体" w:hAnsi="宋体" w:cs="宋体"/>
          <w:color w:val="000000"/>
          <w:sz w:val="24"/>
          <w:szCs w:val="24"/>
        </w:rPr>
        <w:t>解除的，保险人应当将保险标的未受损失部分的保险费，按照合同约定扣除自保险责任开始之日起至合同解除之日止应收的部分后，退还投保人。</w:t>
      </w:r>
    </w:p>
    <w:p>
      <w:pPr>
        <w:spacing w:after="156" w:afterLines="50"/>
        <w:ind w:firstLine="482" w:firstLineChars="200"/>
        <w:rPr>
          <w:rStyle w:val="34"/>
          <w:rFonts w:ascii="宋体" w:hAnsi="宋体" w:cs="宋体"/>
          <w:sz w:val="24"/>
          <w:szCs w:val="24"/>
        </w:rPr>
      </w:pPr>
      <w:r>
        <w:rPr>
          <w:rFonts w:hint="eastAsia" w:ascii="宋体" w:hAnsi="宋体" w:cs="宋体"/>
          <w:b/>
          <w:sz w:val="24"/>
          <w:szCs w:val="24"/>
        </w:rPr>
        <w:t>第四十一条</w:t>
      </w:r>
      <w:r>
        <w:rPr>
          <w:rFonts w:hint="eastAsia" w:ascii="宋体" w:hAnsi="宋体" w:cs="宋体"/>
          <w:sz w:val="24"/>
          <w:szCs w:val="24"/>
        </w:rPr>
        <w:t xml:space="preserve">  </w:t>
      </w:r>
      <w:r>
        <w:rPr>
          <w:rStyle w:val="34"/>
          <w:rFonts w:hint="eastAsia" w:ascii="宋体" w:hAnsi="宋体" w:cs="宋体"/>
          <w:sz w:val="24"/>
          <w:szCs w:val="24"/>
        </w:rPr>
        <w:t>保险责任开始前，投保人要求解除保险合同的，应当按本保险合同的约定向保险人支付退保手续费，保险人应当退还剩余部分保险费。</w:t>
      </w:r>
    </w:p>
    <w:p>
      <w:pPr>
        <w:spacing w:after="156" w:afterLines="50"/>
        <w:ind w:firstLine="480" w:firstLineChars="200"/>
        <w:rPr>
          <w:rStyle w:val="34"/>
          <w:rFonts w:ascii="宋体" w:hAnsi="宋体" w:cs="宋体"/>
          <w:sz w:val="24"/>
          <w:szCs w:val="24"/>
        </w:rPr>
      </w:pPr>
      <w:r>
        <w:rPr>
          <w:rStyle w:val="34"/>
          <w:rFonts w:hint="eastAsia" w:ascii="宋体" w:hAnsi="宋体" w:cs="宋体"/>
          <w:sz w:val="24"/>
          <w:szCs w:val="24"/>
        </w:rPr>
        <w:t>保险责任开始后，投保人要求解除保险合同的，自通知保险人之日起，保险合同解除，保险人按短期费率计收保险责任开始之日起至合同解除之日止期间的保险费，并退还剩余部分保险费。</w:t>
      </w:r>
    </w:p>
    <w:p>
      <w:pPr>
        <w:spacing w:after="156" w:afterLines="50"/>
        <w:ind w:firstLine="480" w:firstLineChars="200"/>
        <w:rPr>
          <w:rFonts w:ascii="宋体" w:hAnsi="宋体" w:cs="宋体"/>
          <w:sz w:val="24"/>
          <w:szCs w:val="24"/>
        </w:rPr>
      </w:pPr>
      <w:r>
        <w:rPr>
          <w:rStyle w:val="34"/>
          <w:rFonts w:hint="eastAsia" w:ascii="宋体" w:hAnsi="宋体" w:cs="宋体"/>
          <w:sz w:val="24"/>
          <w:szCs w:val="24"/>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pPr>
        <w:spacing w:after="156" w:afterLines="50"/>
        <w:ind w:firstLine="479" w:firstLineChars="199"/>
        <w:rPr>
          <w:rFonts w:ascii="宋体" w:hAnsi="宋体" w:cs="宋体"/>
          <w:sz w:val="24"/>
          <w:szCs w:val="24"/>
        </w:rPr>
      </w:pPr>
      <w:r>
        <w:rPr>
          <w:rFonts w:hint="eastAsia" w:ascii="宋体" w:hAnsi="宋体" w:cs="宋体"/>
          <w:b/>
          <w:sz w:val="24"/>
          <w:szCs w:val="24"/>
        </w:rPr>
        <w:t>第四十二条</w:t>
      </w:r>
      <w:r>
        <w:rPr>
          <w:rFonts w:hint="eastAsia" w:ascii="宋体" w:hAnsi="宋体" w:cs="宋体"/>
          <w:sz w:val="24"/>
          <w:szCs w:val="24"/>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pPr>
        <w:spacing w:after="156" w:afterLines="50"/>
        <w:ind w:firstLine="477" w:firstLineChars="199"/>
        <w:rPr>
          <w:rFonts w:ascii="宋体" w:hAnsi="宋体" w:cs="宋体"/>
          <w:sz w:val="24"/>
          <w:szCs w:val="24"/>
        </w:rPr>
      </w:pPr>
    </w:p>
    <w:p>
      <w:pPr>
        <w:spacing w:after="156" w:afterLines="50"/>
        <w:ind w:firstLine="600" w:firstLineChars="249"/>
        <w:jc w:val="center"/>
        <w:rPr>
          <w:rFonts w:ascii="宋体" w:hAnsi="宋体" w:cs="宋体"/>
          <w:b/>
          <w:sz w:val="24"/>
          <w:szCs w:val="24"/>
        </w:rPr>
      </w:pPr>
      <w:r>
        <w:rPr>
          <w:rFonts w:hint="eastAsia" w:ascii="宋体" w:hAnsi="宋体" w:cs="宋体"/>
          <w:b/>
          <w:sz w:val="24"/>
          <w:szCs w:val="24"/>
        </w:rPr>
        <w:t>释义</w:t>
      </w:r>
    </w:p>
    <w:p>
      <w:pPr>
        <w:pStyle w:val="2"/>
        <w:spacing w:after="156" w:afterLines="50"/>
        <w:ind w:firstLine="480" w:firstLineChars="200"/>
        <w:rPr>
          <w:rFonts w:ascii="宋体" w:hAnsi="宋体" w:cs="宋体"/>
          <w:sz w:val="24"/>
        </w:rPr>
      </w:pPr>
      <w:r>
        <w:rPr>
          <w:rFonts w:hint="eastAsia" w:ascii="宋体" w:hAnsi="宋体" w:cs="宋体"/>
          <w:sz w:val="24"/>
        </w:rPr>
        <w:t>第四十三条  本保险合同涉及下列术语时，适用下列释义：</w:t>
      </w:r>
    </w:p>
    <w:p>
      <w:pPr>
        <w:spacing w:after="156" w:afterLines="50"/>
        <w:ind w:firstLine="434" w:firstLineChars="181"/>
        <w:rPr>
          <w:rFonts w:ascii="宋体" w:hAnsi="宋体" w:cs="宋体"/>
          <w:sz w:val="24"/>
          <w:szCs w:val="24"/>
        </w:rPr>
      </w:pPr>
      <w:r>
        <w:rPr>
          <w:rFonts w:hint="eastAsia" w:ascii="宋体" w:hAnsi="宋体" w:cs="宋体"/>
          <w:sz w:val="24"/>
          <w:szCs w:val="24"/>
        </w:rPr>
        <w:t>（一）火灾</w:t>
      </w:r>
    </w:p>
    <w:p>
      <w:pPr>
        <w:spacing w:after="156" w:afterLines="50"/>
        <w:ind w:firstLine="420"/>
        <w:rPr>
          <w:rFonts w:ascii="宋体" w:hAnsi="宋体" w:cs="宋体"/>
          <w:sz w:val="24"/>
          <w:szCs w:val="24"/>
        </w:rPr>
      </w:pPr>
      <w:r>
        <w:rPr>
          <w:rFonts w:hint="eastAsia" w:ascii="宋体" w:hAnsi="宋体" w:cs="宋体"/>
          <w:sz w:val="24"/>
          <w:szCs w:val="24"/>
        </w:rPr>
        <w:t xml:space="preserve"> 在时间或空间上失去控制的燃烧所造成的灾害。构成本保险的火灾责任必须同时具备以下三个条件：</w:t>
      </w:r>
    </w:p>
    <w:p>
      <w:pPr>
        <w:spacing w:after="156" w:afterLines="50"/>
        <w:ind w:firstLine="420"/>
        <w:rPr>
          <w:rFonts w:ascii="宋体" w:hAnsi="宋体" w:cs="宋体"/>
          <w:sz w:val="24"/>
          <w:szCs w:val="24"/>
        </w:rPr>
      </w:pPr>
      <w:r>
        <w:rPr>
          <w:rFonts w:hint="eastAsia" w:ascii="宋体" w:hAnsi="宋体" w:cs="宋体"/>
          <w:sz w:val="24"/>
          <w:szCs w:val="24"/>
        </w:rPr>
        <w:t xml:space="preserve">  1．有燃烧现象，即有热有光有火焰；</w:t>
      </w:r>
    </w:p>
    <w:p>
      <w:pPr>
        <w:spacing w:after="156" w:afterLines="50"/>
        <w:ind w:firstLine="420"/>
        <w:rPr>
          <w:rFonts w:ascii="宋体" w:hAnsi="宋体" w:cs="宋体"/>
          <w:sz w:val="24"/>
          <w:szCs w:val="24"/>
        </w:rPr>
      </w:pPr>
      <w:r>
        <w:rPr>
          <w:rFonts w:hint="eastAsia" w:ascii="宋体" w:hAnsi="宋体" w:cs="宋体"/>
          <w:sz w:val="24"/>
          <w:szCs w:val="24"/>
        </w:rPr>
        <w:t xml:space="preserve">  2．偶然、意外发生的燃烧；</w:t>
      </w:r>
    </w:p>
    <w:p>
      <w:pPr>
        <w:spacing w:after="156" w:afterLines="50"/>
        <w:ind w:firstLine="420"/>
        <w:rPr>
          <w:rFonts w:ascii="宋体" w:hAnsi="宋体" w:cs="宋体"/>
          <w:sz w:val="24"/>
          <w:szCs w:val="24"/>
        </w:rPr>
      </w:pPr>
      <w:r>
        <w:rPr>
          <w:rFonts w:hint="eastAsia" w:ascii="宋体" w:hAnsi="宋体" w:cs="宋体"/>
          <w:sz w:val="24"/>
          <w:szCs w:val="24"/>
        </w:rPr>
        <w:t xml:space="preserve">  3．燃烧失去控制并有蔓延扩大的趋势。</w:t>
      </w:r>
    </w:p>
    <w:p>
      <w:pPr>
        <w:spacing w:after="156" w:afterLines="50"/>
        <w:ind w:firstLine="420"/>
        <w:rPr>
          <w:rFonts w:ascii="宋体" w:hAnsi="宋体" w:cs="宋体"/>
          <w:sz w:val="24"/>
          <w:szCs w:val="24"/>
        </w:rPr>
      </w:pPr>
      <w:r>
        <w:rPr>
          <w:rFonts w:hint="eastAsia" w:ascii="宋体" w:hAnsi="宋体" w:cs="宋体"/>
          <w:sz w:val="24"/>
          <w:szCs w:val="24"/>
        </w:rPr>
        <w:t xml:space="preserve">  因此，仅有燃烧现象并不等于构成本保险中的火灾责任。在生产、生活中有目的用火，如为了防疫而焚毁</w:t>
      </w:r>
      <w:r>
        <w:rPr>
          <w:rFonts w:hint="eastAsia" w:ascii="宋体" w:hAnsi="宋体" w:cs="宋体"/>
          <w:sz w:val="24"/>
          <w:szCs w:val="24"/>
          <w:lang w:val="en-US" w:eastAsia="zh-CN"/>
        </w:rPr>
        <w:t>玷污</w:t>
      </w:r>
      <w:r>
        <w:rPr>
          <w:rFonts w:hint="eastAsia" w:ascii="宋体" w:hAnsi="宋体" w:cs="宋体"/>
          <w:sz w:val="24"/>
          <w:szCs w:val="24"/>
        </w:rPr>
        <w:t>的衣物，点火烧荒等属正常燃烧，不同于火灾责任。</w:t>
      </w:r>
    </w:p>
    <w:p>
      <w:pPr>
        <w:spacing w:after="156" w:afterLines="50"/>
        <w:ind w:firstLine="420"/>
        <w:rPr>
          <w:rFonts w:ascii="宋体" w:hAnsi="宋体" w:cs="宋体"/>
          <w:sz w:val="24"/>
          <w:szCs w:val="24"/>
        </w:rPr>
      </w:pPr>
      <w:r>
        <w:rPr>
          <w:rFonts w:hint="eastAsia" w:ascii="宋体" w:hAnsi="宋体" w:cs="宋体"/>
          <w:sz w:val="24"/>
          <w:szCs w:val="24"/>
        </w:rPr>
        <w:t xml:space="preserve">  因烘、烤、烫、烙造成焦糊变质等损失，既无燃烧现象，又无蔓延扩大趋势，也不属于火灾责任。</w:t>
      </w:r>
    </w:p>
    <w:p>
      <w:pPr>
        <w:spacing w:after="156" w:afterLines="50"/>
        <w:ind w:firstLine="420"/>
        <w:rPr>
          <w:rFonts w:ascii="宋体" w:hAnsi="宋体" w:cs="宋体"/>
          <w:sz w:val="24"/>
          <w:szCs w:val="24"/>
        </w:rPr>
      </w:pPr>
      <w:r>
        <w:rPr>
          <w:rFonts w:hint="eastAsia" w:ascii="宋体" w:hAnsi="宋体" w:cs="宋体"/>
          <w:sz w:val="24"/>
          <w:szCs w:val="24"/>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spacing w:after="156" w:afterLines="50"/>
        <w:ind w:firstLine="420"/>
        <w:rPr>
          <w:rFonts w:ascii="宋体" w:hAnsi="宋体" w:cs="宋体"/>
          <w:sz w:val="24"/>
          <w:szCs w:val="24"/>
        </w:rPr>
      </w:pPr>
      <w:r>
        <w:rPr>
          <w:rFonts w:hint="eastAsia" w:ascii="宋体" w:hAnsi="宋体" w:cs="宋体"/>
          <w:sz w:val="24"/>
          <w:szCs w:val="24"/>
        </w:rPr>
        <w:t xml:space="preserve"> （二）爆炸</w:t>
      </w:r>
    </w:p>
    <w:p>
      <w:pPr>
        <w:spacing w:after="156" w:afterLines="50"/>
        <w:ind w:firstLine="480" w:firstLineChars="200"/>
        <w:rPr>
          <w:rFonts w:ascii="宋体" w:hAnsi="宋体" w:cs="宋体"/>
          <w:sz w:val="24"/>
          <w:szCs w:val="24"/>
        </w:rPr>
      </w:pPr>
      <w:r>
        <w:rPr>
          <w:rFonts w:hint="eastAsia" w:ascii="宋体" w:hAnsi="宋体" w:cs="宋体"/>
          <w:sz w:val="24"/>
          <w:szCs w:val="24"/>
        </w:rPr>
        <w:t>爆炸分物理性爆炸和化学性爆炸。</w:t>
      </w:r>
    </w:p>
    <w:p>
      <w:pPr>
        <w:spacing w:after="156" w:afterLines="50"/>
        <w:ind w:firstLine="480" w:firstLineChars="200"/>
        <w:rPr>
          <w:rFonts w:ascii="宋体" w:hAnsi="宋体" w:cs="宋体"/>
          <w:sz w:val="24"/>
          <w:szCs w:val="24"/>
        </w:rPr>
      </w:pPr>
      <w:r>
        <w:rPr>
          <w:rFonts w:hint="eastAsia" w:ascii="宋体" w:hAnsi="宋体" w:cs="宋体"/>
          <w:sz w:val="24"/>
          <w:szCs w:val="24"/>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pacing w:after="156" w:afterLines="50"/>
        <w:ind w:firstLine="434" w:firstLineChars="181"/>
        <w:rPr>
          <w:rFonts w:ascii="宋体" w:hAnsi="宋体" w:cs="宋体"/>
          <w:sz w:val="24"/>
          <w:szCs w:val="24"/>
        </w:rPr>
      </w:pPr>
      <w:r>
        <w:rPr>
          <w:rFonts w:hint="eastAsia" w:ascii="宋体" w:hAnsi="宋体" w:cs="宋体"/>
          <w:sz w:val="24"/>
          <w:szCs w:val="24"/>
        </w:rPr>
        <w:t xml:space="preserve"> 2．化学性爆炸：物体在瞬息分解或燃烧时放出大量的热和气体，并以很大的压力向四周扩散的现象。如火药爆炸、可燃性粉尘纤维爆炸、可燃气体爆炸及各种化学物品的爆炸等。</w:t>
      </w:r>
    </w:p>
    <w:p>
      <w:pPr>
        <w:spacing w:after="156" w:afterLines="50"/>
        <w:ind w:firstLine="480" w:firstLineChars="200"/>
        <w:rPr>
          <w:rFonts w:ascii="宋体" w:hAnsi="宋体" w:cs="宋体"/>
          <w:sz w:val="24"/>
          <w:szCs w:val="24"/>
        </w:rPr>
      </w:pPr>
      <w:r>
        <w:rPr>
          <w:rFonts w:hint="eastAsia" w:ascii="宋体" w:hAnsi="宋体" w:cs="宋体"/>
          <w:sz w:val="24"/>
          <w:szCs w:val="24"/>
        </w:rPr>
        <w:t>因物体本身的瑕疵，使用损耗或产品质量低劣以及由于容器内部承受“负压’（内压比外压小）造成的损失，不属于爆炸责任。</w:t>
      </w:r>
    </w:p>
    <w:p>
      <w:pPr>
        <w:spacing w:after="156" w:afterLines="50"/>
        <w:ind w:firstLine="480" w:firstLineChars="200"/>
        <w:rPr>
          <w:rFonts w:ascii="宋体" w:hAnsi="宋体" w:cs="宋体"/>
          <w:sz w:val="24"/>
          <w:szCs w:val="24"/>
        </w:rPr>
      </w:pPr>
      <w:r>
        <w:rPr>
          <w:rFonts w:hint="eastAsia" w:ascii="宋体" w:hAnsi="宋体" w:cs="宋体"/>
          <w:sz w:val="24"/>
          <w:szCs w:val="24"/>
        </w:rPr>
        <w:t>（三）雷击</w:t>
      </w:r>
    </w:p>
    <w:p>
      <w:pPr>
        <w:spacing w:after="156" w:afterLines="50"/>
        <w:ind w:firstLine="480" w:firstLineChars="200"/>
        <w:rPr>
          <w:rFonts w:ascii="宋体" w:hAnsi="宋体" w:cs="宋体"/>
          <w:sz w:val="24"/>
          <w:szCs w:val="24"/>
        </w:rPr>
      </w:pPr>
      <w:r>
        <w:rPr>
          <w:rFonts w:hint="eastAsia" w:ascii="宋体" w:hAnsi="宋体" w:cs="宋体"/>
          <w:sz w:val="24"/>
          <w:szCs w:val="24"/>
        </w:rPr>
        <w:t>雷击指由雷电造成的灾害。雷电为积雨云中、云间或云地之间产生的放电现象。雷击的破坏形式分直接雷击与感应雷击两种。</w:t>
      </w:r>
    </w:p>
    <w:p>
      <w:pPr>
        <w:spacing w:after="156" w:afterLines="50"/>
        <w:ind w:firstLine="480" w:firstLineChars="200"/>
        <w:rPr>
          <w:rFonts w:ascii="宋体" w:hAnsi="宋体" w:cs="宋体"/>
          <w:sz w:val="24"/>
          <w:szCs w:val="24"/>
        </w:rPr>
      </w:pPr>
      <w:r>
        <w:rPr>
          <w:rFonts w:hint="eastAsia" w:ascii="宋体" w:hAnsi="宋体" w:cs="宋体"/>
          <w:sz w:val="24"/>
          <w:szCs w:val="24"/>
        </w:rPr>
        <w:t>1．直接雷击：由于雷电直接击中保险标的造成损失，属直接雷击责任。</w:t>
      </w:r>
    </w:p>
    <w:p>
      <w:pPr>
        <w:spacing w:after="156" w:afterLines="50"/>
        <w:ind w:firstLine="480" w:firstLineChars="200"/>
        <w:rPr>
          <w:rFonts w:ascii="宋体" w:hAnsi="宋体" w:cs="宋体"/>
          <w:sz w:val="24"/>
          <w:szCs w:val="24"/>
        </w:rPr>
      </w:pPr>
      <w:r>
        <w:rPr>
          <w:rFonts w:hint="eastAsia" w:ascii="宋体" w:hAnsi="宋体" w:cs="宋体"/>
          <w:sz w:val="24"/>
          <w:szCs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pacing w:after="156" w:afterLines="50"/>
        <w:ind w:firstLine="480" w:firstLineChars="200"/>
        <w:rPr>
          <w:rFonts w:ascii="宋体" w:hAnsi="宋体" w:cs="宋体"/>
          <w:sz w:val="24"/>
          <w:szCs w:val="24"/>
        </w:rPr>
      </w:pPr>
      <w:r>
        <w:rPr>
          <w:rFonts w:hint="eastAsia" w:ascii="宋体" w:hAnsi="宋体" w:cs="宋体"/>
          <w:sz w:val="24"/>
          <w:szCs w:val="24"/>
        </w:rPr>
        <w:t>（四）暴雨：指每小时降雨量达16毫米以上，或连续12小时降雨量达30毫米以上，或连续24小时降雨量达50毫米以上的降雨。</w:t>
      </w:r>
    </w:p>
    <w:p>
      <w:pPr>
        <w:spacing w:after="156" w:afterLines="50"/>
        <w:ind w:firstLine="480" w:firstLineChars="200"/>
        <w:rPr>
          <w:rFonts w:ascii="宋体" w:hAnsi="宋体" w:cs="宋体"/>
          <w:sz w:val="24"/>
          <w:szCs w:val="24"/>
        </w:rPr>
      </w:pPr>
      <w:r>
        <w:rPr>
          <w:rFonts w:hint="eastAsia" w:ascii="宋体" w:hAnsi="宋体" w:cs="宋体"/>
          <w:sz w:val="24"/>
          <w:szCs w:val="24"/>
        </w:rPr>
        <w:t>（五）洪水：指山洪暴发、江河泛滥、潮水上岸及倒灌。但规律性的涨潮、自动灭火设施漏水以及在常年水位以下或地下渗水、水管暴裂不属于洪水责任。</w:t>
      </w:r>
    </w:p>
    <w:p>
      <w:pPr>
        <w:spacing w:after="156" w:afterLines="50"/>
        <w:ind w:firstLine="480" w:firstLineChars="200"/>
        <w:rPr>
          <w:rFonts w:ascii="宋体" w:hAnsi="宋体" w:cs="宋体"/>
          <w:sz w:val="24"/>
          <w:szCs w:val="24"/>
        </w:rPr>
      </w:pPr>
      <w:r>
        <w:rPr>
          <w:rFonts w:hint="eastAsia" w:ascii="宋体" w:hAnsi="宋体" w:cs="宋体"/>
          <w:sz w:val="24"/>
          <w:szCs w:val="24"/>
        </w:rPr>
        <w:t>（六）暴风：指风力达8级、风速在17.2米/秒以上的自然风。</w:t>
      </w:r>
    </w:p>
    <w:p>
      <w:pPr>
        <w:spacing w:after="156" w:afterLines="50"/>
        <w:ind w:firstLine="480" w:firstLineChars="200"/>
        <w:rPr>
          <w:rFonts w:ascii="宋体" w:hAnsi="宋体" w:cs="宋体"/>
          <w:sz w:val="24"/>
          <w:szCs w:val="24"/>
        </w:rPr>
      </w:pPr>
      <w:r>
        <w:rPr>
          <w:rFonts w:hint="eastAsia" w:ascii="宋体" w:hAnsi="宋体" w:cs="宋体"/>
          <w:sz w:val="24"/>
          <w:szCs w:val="24"/>
        </w:rPr>
        <w:t>（七）龙卷风：指一种范围小而时间短的猛烈旋风，陆地上平均最大风速在79米/秒-103米/秒，极端最大风速在100米/秒以上。</w:t>
      </w:r>
    </w:p>
    <w:p>
      <w:pPr>
        <w:spacing w:after="156" w:afterLines="50"/>
        <w:ind w:firstLine="480" w:firstLineChars="200"/>
        <w:rPr>
          <w:rFonts w:ascii="宋体" w:hAnsi="宋体" w:cs="宋体"/>
          <w:sz w:val="24"/>
          <w:szCs w:val="24"/>
        </w:rPr>
      </w:pPr>
      <w:r>
        <w:rPr>
          <w:rFonts w:hint="eastAsia" w:ascii="宋体" w:hAnsi="宋体" w:cs="宋体"/>
          <w:sz w:val="24"/>
          <w:szCs w:val="24"/>
        </w:rPr>
        <w:t>（八）冰雹：指从强烈对流的积雨云中降落到地面的冰块或冰球，直径大于5毫米，核心坚硬的固体降水。</w:t>
      </w:r>
    </w:p>
    <w:p>
      <w:pPr>
        <w:spacing w:after="156" w:afterLines="50"/>
        <w:ind w:firstLine="480" w:firstLineChars="200"/>
        <w:rPr>
          <w:rFonts w:ascii="宋体" w:hAnsi="宋体" w:cs="宋体"/>
          <w:sz w:val="24"/>
          <w:szCs w:val="24"/>
        </w:rPr>
      </w:pPr>
      <w:r>
        <w:rPr>
          <w:rFonts w:hint="eastAsia" w:ascii="宋体" w:hAnsi="宋体" w:cs="宋体"/>
          <w:sz w:val="24"/>
          <w:szCs w:val="24"/>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after="156" w:afterLines="50"/>
        <w:ind w:firstLine="480" w:firstLineChars="200"/>
        <w:rPr>
          <w:rFonts w:ascii="宋体" w:hAnsi="宋体" w:cs="宋体"/>
          <w:sz w:val="24"/>
          <w:szCs w:val="24"/>
        </w:rPr>
      </w:pPr>
      <w:r>
        <w:rPr>
          <w:rFonts w:hint="eastAsia" w:ascii="宋体" w:hAnsi="宋体" w:cs="宋体"/>
          <w:sz w:val="24"/>
          <w:szCs w:val="24"/>
        </w:rPr>
        <w:t>（十）沙尘暴：指强风将地面大量尘沙吹起，使空气很混浊，水平能见度小于1公里的天气现象。</w:t>
      </w:r>
    </w:p>
    <w:p>
      <w:pPr>
        <w:spacing w:after="156" w:afterLines="50"/>
        <w:ind w:firstLine="480" w:firstLineChars="200"/>
        <w:rPr>
          <w:rFonts w:ascii="宋体" w:hAnsi="宋体" w:cs="宋体"/>
          <w:sz w:val="24"/>
          <w:szCs w:val="24"/>
        </w:rPr>
      </w:pPr>
      <w:r>
        <w:rPr>
          <w:rFonts w:hint="eastAsia" w:ascii="宋体" w:hAnsi="宋体" w:cs="宋体"/>
          <w:sz w:val="24"/>
          <w:szCs w:val="24"/>
        </w:rPr>
        <w:t>（十一）暴雪：指连续12小时的降雪量大于或等于10毫米的降雪现象。</w:t>
      </w:r>
    </w:p>
    <w:p>
      <w:pPr>
        <w:spacing w:after="156" w:afterLines="50"/>
        <w:ind w:firstLine="480" w:firstLineChars="200"/>
        <w:rPr>
          <w:rFonts w:ascii="宋体" w:hAnsi="宋体" w:cs="宋体"/>
          <w:sz w:val="24"/>
          <w:szCs w:val="24"/>
        </w:rPr>
      </w:pPr>
      <w:r>
        <w:rPr>
          <w:rFonts w:hint="eastAsia" w:ascii="宋体" w:hAnsi="宋体" w:cs="宋体"/>
          <w:sz w:val="24"/>
          <w:szCs w:val="24"/>
        </w:rPr>
        <w:t>（十二）冰凌：指春季江河解冻期时冰块飘浮遇阻，堆积成坝，堵塞江道，造成水位急剧上升，以致江水溢出江道，漫延成灾。</w:t>
      </w:r>
    </w:p>
    <w:p>
      <w:pPr>
        <w:spacing w:after="156" w:afterLines="50"/>
        <w:ind w:firstLine="480" w:firstLineChars="200"/>
        <w:rPr>
          <w:rFonts w:ascii="宋体" w:hAnsi="宋体" w:cs="宋体"/>
          <w:sz w:val="24"/>
          <w:szCs w:val="24"/>
        </w:rPr>
      </w:pPr>
      <w:r>
        <w:rPr>
          <w:rFonts w:hint="eastAsia" w:ascii="宋体" w:hAnsi="宋体" w:cs="宋体"/>
          <w:sz w:val="24"/>
          <w:szCs w:val="24"/>
        </w:rPr>
        <w:t>陆上有些地区，如山谷风口或酷寒致使雨雪在物体上结成冰块，成下垂形状，越结越厚，重量增加，由于下垂的拉力致使物体毁坏，也属冰凌责任。</w:t>
      </w:r>
    </w:p>
    <w:p>
      <w:pPr>
        <w:spacing w:after="156" w:afterLines="50"/>
        <w:ind w:firstLine="480" w:firstLineChars="200"/>
        <w:rPr>
          <w:rFonts w:ascii="宋体" w:hAnsi="宋体" w:cs="宋体"/>
          <w:sz w:val="24"/>
          <w:szCs w:val="24"/>
        </w:rPr>
      </w:pPr>
      <w:r>
        <w:rPr>
          <w:rFonts w:hint="eastAsia" w:ascii="宋体" w:hAnsi="宋体" w:cs="宋体"/>
          <w:sz w:val="24"/>
          <w:szCs w:val="24"/>
        </w:rPr>
        <w:t>（十三）突发性滑坡：斜坡上不稳的岩土体或人为堆积物在重力作用下突然整体向下滑动的现象。</w:t>
      </w:r>
    </w:p>
    <w:p>
      <w:pPr>
        <w:spacing w:after="156" w:afterLines="50"/>
        <w:ind w:firstLine="480" w:firstLineChars="200"/>
        <w:rPr>
          <w:rFonts w:ascii="宋体" w:hAnsi="宋体" w:cs="宋体"/>
          <w:sz w:val="24"/>
          <w:szCs w:val="24"/>
        </w:rPr>
      </w:pPr>
      <w:r>
        <w:rPr>
          <w:rFonts w:hint="eastAsia" w:ascii="宋体" w:hAnsi="宋体" w:cs="宋体"/>
          <w:sz w:val="24"/>
          <w:szCs w:val="24"/>
        </w:rPr>
        <w:t>（十四）崩塌：石崖、土崖、岩石受自然风化、雨蚀造成崩溃下塌，以及大量积雪在重力作用下从高处突然崩塌滚落。</w:t>
      </w:r>
    </w:p>
    <w:p>
      <w:pPr>
        <w:spacing w:after="156" w:afterLines="50"/>
        <w:ind w:firstLine="480" w:firstLineChars="200"/>
        <w:rPr>
          <w:rFonts w:ascii="宋体" w:hAnsi="宋体" w:cs="宋体"/>
          <w:sz w:val="24"/>
          <w:szCs w:val="24"/>
        </w:rPr>
      </w:pPr>
      <w:r>
        <w:rPr>
          <w:rFonts w:hint="eastAsia" w:ascii="宋体" w:hAnsi="宋体" w:cs="宋体"/>
          <w:sz w:val="24"/>
          <w:szCs w:val="24"/>
        </w:rPr>
        <w:t>（十五）泥石流：由于雨水、冰雪融化等水源激发的、含有大量泥沙石块的特殊洪流。</w:t>
      </w:r>
    </w:p>
    <w:p>
      <w:pPr>
        <w:spacing w:after="156" w:afterLines="50"/>
        <w:ind w:firstLine="434" w:firstLineChars="181"/>
        <w:rPr>
          <w:rFonts w:ascii="宋体" w:hAnsi="宋体" w:cs="宋体"/>
          <w:sz w:val="24"/>
          <w:szCs w:val="24"/>
        </w:rPr>
      </w:pPr>
      <w:r>
        <w:rPr>
          <w:rFonts w:hint="eastAsia" w:ascii="宋体" w:hAnsi="宋体" w:cs="宋体"/>
          <w:sz w:val="24"/>
          <w:szCs w:val="24"/>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after="156" w:afterLines="50"/>
        <w:ind w:firstLine="480" w:firstLineChars="200"/>
        <w:rPr>
          <w:rFonts w:ascii="宋体" w:hAnsi="宋体" w:cs="宋体"/>
          <w:sz w:val="24"/>
          <w:szCs w:val="24"/>
        </w:rPr>
      </w:pPr>
      <w:r>
        <w:rPr>
          <w:rFonts w:hint="eastAsia" w:ascii="宋体" w:hAnsi="宋体" w:cs="宋体"/>
          <w:sz w:val="24"/>
          <w:szCs w:val="24"/>
        </w:rPr>
        <w:t>（十七）飞行物体及其他空中运行物体坠落：指空中飞行器、人造卫星、陨石坠落，吊车、行车在运行时发生的物体坠落，人工开凿或爆炸而致石方、石块、土方飞射、塌下，建筑物倒塌、倒落、倾倒，以及其他空中运行物体坠落。</w:t>
      </w:r>
    </w:p>
    <w:p>
      <w:pPr>
        <w:spacing w:after="156" w:afterLines="50"/>
        <w:ind w:firstLine="480" w:firstLineChars="200"/>
        <w:rPr>
          <w:rFonts w:ascii="宋体" w:hAnsi="宋体" w:cs="宋体"/>
          <w:sz w:val="24"/>
          <w:szCs w:val="24"/>
        </w:rPr>
      </w:pPr>
      <w:r>
        <w:rPr>
          <w:rFonts w:hint="eastAsia" w:ascii="宋体" w:hAnsi="宋体" w:cs="宋体"/>
          <w:sz w:val="24"/>
          <w:szCs w:val="24"/>
        </w:rPr>
        <w:t>（十八）自然灾害：指雷击、暴雨、洪水、暴风、龙卷风、冰雹、台风、飓风、沙尘暴、暴雪、冰凌、突发性滑坡、崩塌、泥石流、地面突然下陷下沉及其他人力不可抗拒的破坏力强大的自然现象。</w:t>
      </w:r>
    </w:p>
    <w:p>
      <w:pPr>
        <w:spacing w:after="156" w:afterLines="50"/>
        <w:ind w:firstLine="480" w:firstLineChars="200"/>
        <w:rPr>
          <w:rFonts w:ascii="宋体" w:hAnsi="宋体" w:cs="宋体"/>
          <w:sz w:val="24"/>
          <w:szCs w:val="24"/>
        </w:rPr>
      </w:pPr>
      <w:r>
        <w:rPr>
          <w:rFonts w:hint="eastAsia" w:ascii="宋体" w:hAnsi="宋体" w:cs="宋体"/>
          <w:sz w:val="24"/>
          <w:szCs w:val="24"/>
        </w:rPr>
        <w:t>（十九）意外事故：指不可预料的以及被保险人无法控制并造成物质损失的突发性事件，包括火灾和爆炸。</w:t>
      </w:r>
    </w:p>
    <w:p>
      <w:pPr>
        <w:spacing w:after="156" w:afterLines="50"/>
        <w:ind w:firstLine="480" w:firstLineChars="200"/>
        <w:rPr>
          <w:rFonts w:ascii="宋体" w:hAnsi="宋体" w:cs="宋体"/>
          <w:sz w:val="24"/>
          <w:szCs w:val="24"/>
        </w:rPr>
      </w:pPr>
      <w:r>
        <w:rPr>
          <w:rFonts w:hint="eastAsia" w:ascii="宋体" w:hAnsi="宋体" w:cs="宋体"/>
          <w:sz w:val="24"/>
          <w:szCs w:val="24"/>
        </w:rPr>
        <w:t>（二十）重大过失行为：指行为人不但没有遵守法律规范对其较高要求，甚至连人们都应当注意并能注意的一般标准也未达到的行为。</w:t>
      </w:r>
    </w:p>
    <w:p>
      <w:pPr>
        <w:spacing w:after="156" w:afterLines="50"/>
        <w:ind w:firstLine="480" w:firstLineChars="200"/>
        <w:rPr>
          <w:rFonts w:ascii="宋体" w:hAnsi="宋体" w:cs="宋体"/>
          <w:sz w:val="24"/>
          <w:szCs w:val="24"/>
        </w:rPr>
      </w:pPr>
      <w:r>
        <w:rPr>
          <w:rFonts w:hint="eastAsia" w:ascii="宋体" w:hAnsi="宋体" w:cs="宋体"/>
          <w:sz w:val="24"/>
          <w:szCs w:val="24"/>
        </w:rPr>
        <w:t>（二十一）恐怖活动：指任何人以某一组织的名义或参与某一组织使用武力或暴力对任何政府进行恐吓或施加影响而采取的行动。</w:t>
      </w:r>
    </w:p>
    <w:p>
      <w:pPr>
        <w:spacing w:after="156" w:afterLines="50"/>
        <w:ind w:firstLine="480" w:firstLineChars="200"/>
        <w:rPr>
          <w:rFonts w:ascii="宋体" w:hAnsi="宋体" w:cs="宋体"/>
          <w:sz w:val="24"/>
          <w:szCs w:val="24"/>
        </w:rPr>
      </w:pPr>
      <w:r>
        <w:rPr>
          <w:rFonts w:hint="eastAsia" w:ascii="宋体" w:hAnsi="宋体" w:cs="宋体"/>
          <w:sz w:val="24"/>
          <w:szCs w:val="24"/>
        </w:rPr>
        <w:t>（二十二）地震：地壳发生的震动。</w:t>
      </w:r>
    </w:p>
    <w:p>
      <w:pPr>
        <w:spacing w:after="156" w:afterLines="50"/>
        <w:ind w:firstLine="480" w:firstLineChars="200"/>
        <w:rPr>
          <w:rFonts w:ascii="宋体" w:hAnsi="宋体" w:cs="宋体"/>
          <w:sz w:val="24"/>
          <w:szCs w:val="24"/>
        </w:rPr>
      </w:pPr>
      <w:r>
        <w:rPr>
          <w:rFonts w:hint="eastAsia" w:ascii="宋体" w:hAnsi="宋体" w:cs="宋体"/>
          <w:sz w:val="24"/>
          <w:szCs w:val="24"/>
        </w:rPr>
        <w:t>（二十三）海啸：海啸是指由海底地震，火山爆发或水下滑坡、塌陷所激发的海洋巨波。</w:t>
      </w:r>
    </w:p>
    <w:p>
      <w:pPr>
        <w:spacing w:after="156" w:afterLines="50"/>
        <w:ind w:firstLine="480" w:firstLineChars="200"/>
        <w:rPr>
          <w:rFonts w:ascii="宋体" w:hAnsi="宋体" w:cs="宋体"/>
          <w:sz w:val="24"/>
          <w:szCs w:val="24"/>
        </w:rPr>
      </w:pPr>
      <w:r>
        <w:rPr>
          <w:rFonts w:hint="eastAsia" w:ascii="宋体" w:hAnsi="宋体" w:cs="宋体"/>
          <w:sz w:val="24"/>
          <w:szCs w:val="24"/>
        </w:rPr>
        <w:t>（二十四）行政行为、司法行为：指各级政府部门、执法机关或依法履行公共管理、社会管理职能的机构下令破坏、征用、罚没保险标的的行为。</w:t>
      </w:r>
    </w:p>
    <w:p>
      <w:pPr>
        <w:spacing w:after="156" w:afterLines="50"/>
        <w:ind w:firstLine="480" w:firstLineChars="200"/>
        <w:rPr>
          <w:rFonts w:ascii="宋体" w:hAnsi="宋体" w:cs="宋体"/>
          <w:sz w:val="24"/>
          <w:szCs w:val="24"/>
        </w:rPr>
      </w:pPr>
      <w:r>
        <w:rPr>
          <w:rFonts w:hint="eastAsia" w:ascii="宋体" w:hAnsi="宋体" w:cs="宋体"/>
          <w:sz w:val="24"/>
          <w:szCs w:val="24"/>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pPr>
        <w:spacing w:after="156" w:afterLines="50"/>
        <w:ind w:firstLine="480" w:firstLineChars="200"/>
        <w:rPr>
          <w:rFonts w:ascii="宋体" w:hAnsi="宋体" w:cs="宋体"/>
          <w:sz w:val="24"/>
          <w:szCs w:val="24"/>
        </w:rPr>
      </w:pPr>
      <w:r>
        <w:rPr>
          <w:rFonts w:hint="eastAsia" w:ascii="宋体" w:hAnsi="宋体" w:cs="宋体"/>
          <w:sz w:val="24"/>
          <w:szCs w:val="24"/>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pPr>
        <w:spacing w:after="156" w:afterLines="50"/>
        <w:ind w:firstLine="480" w:firstLineChars="200"/>
        <w:rPr>
          <w:rFonts w:ascii="宋体" w:hAnsi="宋体" w:cs="宋体"/>
          <w:sz w:val="24"/>
          <w:szCs w:val="24"/>
        </w:rPr>
      </w:pPr>
      <w:r>
        <w:rPr>
          <w:rFonts w:hint="eastAsia" w:ascii="宋体" w:hAnsi="宋体" w:cs="宋体"/>
          <w:sz w:val="24"/>
          <w:szCs w:val="24"/>
        </w:rPr>
        <w:t>（二十七）重置价值：指替换、重建受损保险标的，以使其达到全新状态而发生的费用，但不包括被保险人进行的任何变更、性能增加或改进所产生的额外费用。</w:t>
      </w:r>
    </w:p>
    <w:p>
      <w:pPr>
        <w:spacing w:after="156" w:afterLines="50"/>
        <w:ind w:firstLine="480" w:firstLineChars="200"/>
        <w:rPr>
          <w:rFonts w:ascii="宋体" w:hAnsi="宋体" w:cs="宋体"/>
          <w:sz w:val="24"/>
          <w:szCs w:val="24"/>
        </w:rPr>
      </w:pPr>
      <w:r>
        <w:rPr>
          <w:rFonts w:hint="eastAsia" w:ascii="宋体" w:hAnsi="宋体" w:cs="宋体"/>
          <w:sz w:val="24"/>
          <w:szCs w:val="24"/>
        </w:rPr>
        <w:t>（二十八）水箱、水管爆裂：包括冻裂和意外爆裂两种情况。水箱、水管爆裂一般是由水箱、水管本身瑕疵或使用耗损或严寒结冰造成的。</w:t>
      </w:r>
    </w:p>
    <w:p>
      <w:pPr>
        <w:spacing w:after="156" w:afterLines="50"/>
        <w:ind w:firstLine="480" w:firstLineChars="200"/>
        <w:rPr>
          <w:rFonts w:ascii="宋体" w:hAnsi="宋体" w:cs="宋体"/>
          <w:sz w:val="24"/>
          <w:szCs w:val="24"/>
        </w:rPr>
      </w:pPr>
    </w:p>
    <w:p>
      <w:pPr>
        <w:spacing w:after="156" w:afterLines="50"/>
        <w:rPr>
          <w:rFonts w:ascii="宋体" w:hAnsi="宋体" w:cs="宋体"/>
          <w:sz w:val="24"/>
          <w:szCs w:val="24"/>
        </w:rPr>
      </w:pPr>
      <w:bookmarkStart w:id="274" w:name="_Hlt29017273"/>
      <w:bookmarkEnd w:id="274"/>
      <w:bookmarkStart w:id="275" w:name="_Hlt29017149"/>
      <w:bookmarkEnd w:id="275"/>
      <w:r>
        <w:rPr>
          <w:rFonts w:hint="eastAsia" w:ascii="宋体" w:hAnsi="宋体" w:cs="宋体"/>
          <w:b/>
          <w:sz w:val="24"/>
          <w:szCs w:val="24"/>
        </w:rPr>
        <w:t>附录：</w:t>
      </w:r>
      <w:r>
        <w:rPr>
          <w:rFonts w:hint="eastAsia" w:ascii="宋体" w:hAnsi="宋体" w:cs="宋体"/>
          <w:b/>
          <w:bCs/>
          <w:sz w:val="24"/>
          <w:szCs w:val="24"/>
        </w:rPr>
        <w:t>短期费率表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56" w:afterLines="50"/>
              <w:jc w:val="center"/>
              <w:rPr>
                <w:rFonts w:ascii="宋体" w:hAnsi="宋体" w:cs="宋体"/>
                <w:sz w:val="24"/>
                <w:szCs w:val="24"/>
              </w:rPr>
            </w:pPr>
            <w:r>
              <w:rPr>
                <w:rFonts w:hint="eastAsia" w:ascii="宋体" w:hAnsi="宋体" w:cs="宋体"/>
                <w:sz w:val="24"/>
                <w:szCs w:val="24"/>
              </w:rPr>
              <w:t>保险</w:t>
            </w:r>
          </w:p>
          <w:p>
            <w:pPr>
              <w:spacing w:after="156" w:afterLines="50"/>
              <w:jc w:val="center"/>
              <w:rPr>
                <w:rFonts w:ascii="宋体" w:hAnsi="宋体" w:cs="宋体"/>
                <w:sz w:val="24"/>
                <w:szCs w:val="24"/>
              </w:rPr>
            </w:pPr>
            <w:r>
              <w:rPr>
                <w:rFonts w:hint="eastAsia" w:ascii="宋体" w:hAnsi="宋体" w:cs="宋体"/>
                <w:sz w:val="24"/>
                <w:szCs w:val="24"/>
              </w:rPr>
              <w:t>期间</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一</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二</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三</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四</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五</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六</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七</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八</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九</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十</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37" w:type="dxa"/>
            <w:vAlign w:val="center"/>
          </w:tcPr>
          <w:p>
            <w:pPr>
              <w:spacing w:after="156" w:afterLines="50"/>
              <w:jc w:val="center"/>
              <w:rPr>
                <w:rFonts w:ascii="宋体" w:hAnsi="宋体" w:cs="宋体"/>
                <w:sz w:val="24"/>
                <w:szCs w:val="24"/>
              </w:rPr>
            </w:pPr>
            <w:r>
              <w:rPr>
                <w:rFonts w:hint="eastAsia" w:ascii="宋体" w:hAnsi="宋体" w:cs="宋体"/>
                <w:sz w:val="24"/>
                <w:szCs w:val="24"/>
              </w:rPr>
              <w:t>十</w:t>
            </w:r>
          </w:p>
          <w:p>
            <w:pPr>
              <w:spacing w:after="156" w:afterLines="50"/>
              <w:jc w:val="center"/>
              <w:rPr>
                <w:rFonts w:ascii="宋体" w:hAnsi="宋体" w:cs="宋体"/>
                <w:sz w:val="24"/>
                <w:szCs w:val="24"/>
              </w:rPr>
            </w:pPr>
            <w:r>
              <w:rPr>
                <w:rFonts w:hint="eastAsia" w:ascii="宋体" w:hAnsi="宋体" w:cs="宋体"/>
                <w:sz w:val="24"/>
                <w:szCs w:val="24"/>
              </w:rPr>
              <w:t>一</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31" w:type="dxa"/>
            <w:vAlign w:val="center"/>
          </w:tcPr>
          <w:p>
            <w:pPr>
              <w:spacing w:after="156" w:afterLines="50"/>
              <w:jc w:val="center"/>
              <w:rPr>
                <w:rFonts w:ascii="宋体" w:hAnsi="宋体" w:cs="宋体"/>
                <w:sz w:val="24"/>
                <w:szCs w:val="24"/>
              </w:rPr>
            </w:pPr>
            <w:r>
              <w:rPr>
                <w:rFonts w:hint="eastAsia" w:ascii="宋体" w:hAnsi="宋体" w:cs="宋体"/>
                <w:sz w:val="24"/>
                <w:szCs w:val="24"/>
              </w:rPr>
              <w:t>十</w:t>
            </w:r>
          </w:p>
          <w:p>
            <w:pPr>
              <w:spacing w:after="156" w:afterLines="50"/>
              <w:jc w:val="center"/>
              <w:rPr>
                <w:rFonts w:ascii="宋体" w:hAnsi="宋体" w:cs="宋体"/>
                <w:sz w:val="24"/>
                <w:szCs w:val="24"/>
              </w:rPr>
            </w:pPr>
            <w:r>
              <w:rPr>
                <w:rFonts w:hint="eastAsia" w:ascii="宋体" w:hAnsi="宋体" w:cs="宋体"/>
                <w:sz w:val="24"/>
                <w:szCs w:val="24"/>
              </w:rPr>
              <w:t>二</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56" w:afterLines="50"/>
              <w:jc w:val="center"/>
              <w:rPr>
                <w:rFonts w:ascii="宋体" w:hAnsi="宋体" w:cs="宋体"/>
                <w:sz w:val="24"/>
                <w:szCs w:val="24"/>
              </w:rPr>
            </w:pPr>
            <w:r>
              <w:rPr>
                <w:rFonts w:hint="eastAsia" w:ascii="宋体" w:hAnsi="宋体" w:cs="宋体"/>
                <w:sz w:val="24"/>
                <w:szCs w:val="24"/>
              </w:rPr>
              <w:t>年费率的百分比</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10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20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30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40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50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60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70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80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85</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90</w:t>
            </w:r>
          </w:p>
        </w:tc>
        <w:tc>
          <w:tcPr>
            <w:tcW w:w="537" w:type="dxa"/>
            <w:vAlign w:val="center"/>
          </w:tcPr>
          <w:p>
            <w:pPr>
              <w:spacing w:after="156" w:afterLines="50"/>
              <w:jc w:val="center"/>
              <w:rPr>
                <w:rFonts w:ascii="宋体" w:hAnsi="宋体" w:cs="宋体"/>
                <w:sz w:val="24"/>
                <w:szCs w:val="24"/>
              </w:rPr>
            </w:pPr>
            <w:r>
              <w:rPr>
                <w:rFonts w:hint="eastAsia" w:ascii="宋体" w:hAnsi="宋体" w:cs="宋体"/>
                <w:sz w:val="24"/>
                <w:szCs w:val="24"/>
              </w:rPr>
              <w:t>95</w:t>
            </w:r>
          </w:p>
        </w:tc>
        <w:tc>
          <w:tcPr>
            <w:tcW w:w="531" w:type="dxa"/>
            <w:vAlign w:val="center"/>
          </w:tcPr>
          <w:p>
            <w:pPr>
              <w:spacing w:after="156" w:afterLines="50"/>
              <w:jc w:val="center"/>
              <w:rPr>
                <w:rFonts w:ascii="宋体" w:hAnsi="宋体" w:cs="宋体"/>
                <w:sz w:val="24"/>
                <w:szCs w:val="24"/>
              </w:rPr>
            </w:pPr>
            <w:r>
              <w:rPr>
                <w:rFonts w:hint="eastAsia" w:ascii="宋体" w:hAnsi="宋体" w:cs="宋体"/>
                <w:sz w:val="24"/>
                <w:szCs w:val="24"/>
              </w:rPr>
              <w:t>100</w:t>
            </w:r>
          </w:p>
        </w:tc>
      </w:tr>
    </w:tbl>
    <w:p>
      <w:pPr>
        <w:spacing w:after="156" w:afterLines="50"/>
        <w:ind w:firstLine="480" w:firstLineChars="200"/>
        <w:rPr>
          <w:rFonts w:ascii="宋体" w:hAnsi="宋体" w:cs="宋体"/>
          <w:szCs w:val="21"/>
        </w:rPr>
      </w:pPr>
      <w:r>
        <w:rPr>
          <w:rFonts w:hint="eastAsia" w:ascii="宋体" w:hAnsi="宋体" w:cs="宋体"/>
          <w:sz w:val="24"/>
          <w:szCs w:val="24"/>
        </w:rPr>
        <w:t>注：不足一个月的部分按一个月计收。</w:t>
      </w: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p>
    <w:p>
      <w:pPr>
        <w:spacing w:line="360" w:lineRule="auto"/>
        <w:jc w:val="center"/>
        <w:rPr>
          <w:ins w:id="0" w:author="张荣 [3]" w:date="2019-02-19T09:42:00Z"/>
          <w:rFonts w:ascii="宋体" w:hAnsi="宋体" w:cs="宋体"/>
          <w:b/>
          <w:sz w:val="24"/>
          <w:szCs w:val="24"/>
        </w:rPr>
      </w:pPr>
      <w:r>
        <w:rPr>
          <w:rFonts w:hint="eastAsia" w:ascii="宋体" w:hAnsi="宋体" w:cs="宋体"/>
          <w:b/>
          <w:sz w:val="24"/>
          <w:szCs w:val="24"/>
        </w:rPr>
        <w:t>附加条款</w:t>
      </w:r>
    </w:p>
    <w:p>
      <w:pPr>
        <w:snapToGrid w:val="0"/>
        <w:spacing w:line="360" w:lineRule="auto"/>
        <w:ind w:firstLine="480" w:firstLineChars="200"/>
        <w:rPr>
          <w:rFonts w:ascii="宋体" w:hAnsi="宋体" w:cs="宋体"/>
          <w:sz w:val="24"/>
          <w:szCs w:val="24"/>
        </w:rPr>
      </w:pP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盗窃、抢劫扩展条款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经双方同意，由于使用暴力手段进出保险标的坐落地址或被电子监测系统记录的，并经公安部门证明确系盗窃或抢劫行为造成保险标的的损失，保险人按照本保险合同的约定负责赔偿。</w:t>
      </w:r>
    </w:p>
    <w:p>
      <w:pPr>
        <w:snapToGrid w:val="0"/>
        <w:spacing w:line="360" w:lineRule="auto"/>
        <w:ind w:firstLine="480" w:firstLineChars="200"/>
        <w:rPr>
          <w:rFonts w:ascii="宋体" w:hAnsi="宋体" w:cs="宋体"/>
          <w:color w:val="000000"/>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罢工、暴乱及民众骚乱扩展条款</w:t>
      </w:r>
    </w:p>
    <w:p>
      <w:pPr>
        <w:autoSpaceDE w:val="0"/>
        <w:autoSpaceDN w:val="0"/>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经双方同意，在罢工、暴乱或民众骚动期间，由于参与罢工、暴乱或民众骚动的人员造成保险标的的损失，以及因发生抢劫造成保险标的的损失，保险人按照本保险合同的约定负责赔偿。</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恐怖活动扩展条款</w:t>
      </w:r>
    </w:p>
    <w:p>
      <w:pPr>
        <w:snapToGrid w:val="0"/>
        <w:spacing w:line="360" w:lineRule="auto"/>
        <w:ind w:firstLine="540"/>
        <w:rPr>
          <w:rFonts w:ascii="宋体" w:hAnsi="宋体" w:cs="宋体"/>
          <w:sz w:val="24"/>
          <w:szCs w:val="24"/>
        </w:rPr>
      </w:pPr>
      <w:r>
        <w:rPr>
          <w:rFonts w:hint="eastAsia" w:ascii="宋体" w:hAnsi="宋体" w:cs="宋体"/>
          <w:sz w:val="24"/>
          <w:szCs w:val="24"/>
        </w:rPr>
        <w:t>经双方同意，由于恐怖活动引起火灾、爆炸而造成保险标的的损失，保险人按照本保险合同的约定负责赔偿。</w:t>
      </w:r>
    </w:p>
    <w:p>
      <w:pPr>
        <w:snapToGrid w:val="0"/>
        <w:spacing w:line="360" w:lineRule="auto"/>
        <w:ind w:firstLine="540"/>
        <w:rPr>
          <w:rFonts w:ascii="宋体" w:hAnsi="宋体" w:cs="宋体"/>
          <w:sz w:val="24"/>
          <w:szCs w:val="24"/>
        </w:rPr>
      </w:pPr>
      <w:r>
        <w:rPr>
          <w:rFonts w:hint="eastAsia" w:ascii="宋体" w:hAnsi="宋体" w:cs="宋体"/>
          <w:sz w:val="24"/>
          <w:szCs w:val="24"/>
        </w:rPr>
        <w:t>但对下列损失不负责赔偿：</w:t>
      </w:r>
    </w:p>
    <w:p>
      <w:pPr>
        <w:snapToGrid w:val="0"/>
        <w:spacing w:line="360" w:lineRule="auto"/>
        <w:ind w:firstLine="600" w:firstLineChars="250"/>
        <w:rPr>
          <w:rFonts w:ascii="宋体" w:hAnsi="宋体" w:cs="宋体"/>
          <w:sz w:val="24"/>
          <w:szCs w:val="24"/>
        </w:rPr>
      </w:pPr>
      <w:r>
        <w:rPr>
          <w:rFonts w:hint="eastAsia" w:ascii="宋体" w:hAnsi="宋体" w:cs="宋体"/>
          <w:sz w:val="24"/>
          <w:szCs w:val="24"/>
        </w:rPr>
        <w:t>（一）公共当局没收、临时或永久征用所致的损失；</w:t>
      </w:r>
    </w:p>
    <w:p>
      <w:pPr>
        <w:snapToGrid w:val="0"/>
        <w:spacing w:line="360" w:lineRule="auto"/>
        <w:ind w:firstLine="600" w:firstLineChars="250"/>
        <w:rPr>
          <w:rFonts w:ascii="宋体" w:hAnsi="宋体" w:cs="宋体"/>
          <w:sz w:val="24"/>
          <w:szCs w:val="24"/>
        </w:rPr>
      </w:pPr>
      <w:r>
        <w:rPr>
          <w:rFonts w:hint="eastAsia" w:ascii="宋体" w:hAnsi="宋体" w:cs="宋体"/>
          <w:sz w:val="24"/>
          <w:szCs w:val="24"/>
        </w:rPr>
        <w:t>（二）由于建筑物临时或永久被非法占据所致的损失；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（三）由于核辐射、核爆炸、核污染及其他放射性污染所致的损失。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每次事故赔偿限额不超过主险保险金额的70%。</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供应中断扩展条款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经双方同意，由于供应电、水、气及其他能源的设备遭受保险事故致使供应中断造成保险标的的损失，保险人按照本保险合同的约定负责赔偿。</w:t>
      </w:r>
    </w:p>
    <w:p>
      <w:pPr>
        <w:snapToGrid w:val="0"/>
        <w:spacing w:line="360" w:lineRule="auto"/>
        <w:ind w:firstLine="480" w:firstLineChars="200"/>
        <w:rPr>
          <w:rFonts w:ascii="宋体" w:hAnsi="宋体" w:cs="宋体"/>
          <w:color w:val="000000"/>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虫蛀、鼠咬损失扩展条款</w:t>
      </w:r>
    </w:p>
    <w:p>
      <w:pPr>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经双方同意，保险人负责赔偿本保险合同中列明的各项保险财产因虫蛀、鼠咬导致意外事故发生所造成的损失。</w:t>
      </w:r>
    </w:p>
    <w:p>
      <w:pPr>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自燃扩展条款</w:t>
      </w:r>
    </w:p>
    <w:p>
      <w:pPr>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经双方同意，由于自燃造成保险标的的损失，保险人按照本保险合同的约定负责赔偿。</w:t>
      </w:r>
    </w:p>
    <w:p>
      <w:pPr>
        <w:spacing w:line="360" w:lineRule="auto"/>
        <w:ind w:firstLine="480" w:firstLineChars="200"/>
        <w:rPr>
          <w:rFonts w:ascii="宋体" w:hAnsi="宋体" w:cs="宋体"/>
        </w:rPr>
      </w:pPr>
      <w:r>
        <w:rPr>
          <w:rFonts w:hint="eastAsia" w:ascii="宋体" w:hAnsi="宋体" w:cs="宋体"/>
          <w:color w:val="000000"/>
          <w:kern w:val="0"/>
          <w:sz w:val="24"/>
          <w:szCs w:val="24"/>
        </w:rPr>
        <w:t>本附加条款与主条款内容相悖之处，以本附加条款为准；未尽之处，以主条</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款为准。</w:t>
      </w:r>
    </w:p>
    <w:p>
      <w:pPr>
        <w:pStyle w:val="47"/>
        <w:numPr>
          <w:ilvl w:val="0"/>
          <w:numId w:val="5"/>
        </w:numPr>
        <w:tabs>
          <w:tab w:val="clear" w:pos="2160"/>
          <w:tab w:val="clear" w:pos="2520"/>
          <w:tab w:val="clear" w:pos="2880"/>
          <w:tab w:val="clear" w:pos="3240"/>
        </w:tabs>
        <w:snapToGrid w:val="0"/>
        <w:spacing w:line="360" w:lineRule="auto"/>
        <w:ind w:right="-25" w:rightChars="-12"/>
        <w:rPr>
          <w:rFonts w:ascii="宋体" w:hAnsi="宋体" w:eastAsia="宋体" w:cs="宋体"/>
          <w:b/>
          <w:kern w:val="2"/>
          <w:szCs w:val="24"/>
          <w:lang w:eastAsia="zh-CN"/>
        </w:rPr>
      </w:pPr>
      <w:r>
        <w:rPr>
          <w:rFonts w:hint="eastAsia" w:ascii="宋体" w:hAnsi="宋体" w:eastAsia="宋体" w:cs="宋体"/>
          <w:b/>
          <w:kern w:val="2"/>
          <w:szCs w:val="24"/>
          <w:lang w:eastAsia="zh-CN"/>
        </w:rPr>
        <w:t>霉变条款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经双方同意，本保单保险合同承保由于霉变引起的本保险合同项下保险财产的损失和费用。但被保险人未按正常程序操作的除外。</w:t>
      </w:r>
    </w:p>
    <w:p>
      <w:pPr>
        <w:snapToGrid w:val="0"/>
        <w:spacing w:line="360" w:lineRule="auto"/>
        <w:ind w:firstLine="480" w:firstLineChars="200"/>
        <w:rPr>
          <w:rFonts w:ascii="宋体" w:hAnsi="宋体" w:cs="宋体"/>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锅炉、压力容器扩展条款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经双方同意，在本保险合同中载明的保险标的地址内，被保险人所有的或管控的锅炉、压力容器在正常使用过程中，由于下列原因造成自身的损失，保险人按照本保险合同的约定负责赔偿：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（一）操作不当；</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（二）爆炸。</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被保险人应保证所投保的锅炉、压力容器的质量符合有关法规及行业规范。</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建筑物外部附属设施扩展条款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暴风、暴雨、龙卷风、台风、飓风、雷击、冰雹、暴雪、冰凌、洪水、沙尘暴造成被保险建筑物外部的广告牌、天线、太阳能装置、霓虹灯的直接物质损失，保险人按照本保险合同的约定负责赔偿。</w:t>
      </w:r>
    </w:p>
    <w:p>
      <w:pPr>
        <w:pStyle w:val="15"/>
        <w:snapToGrid w:val="0"/>
        <w:rPr>
          <w:rFonts w:ascii="宋体" w:hAnsi="宋体" w:eastAsia="宋体" w:cs="宋体"/>
          <w:szCs w:val="24"/>
        </w:rPr>
      </w:pPr>
      <w:r>
        <w:rPr>
          <w:rFonts w:hint="eastAsia" w:ascii="宋体" w:hAnsi="宋体" w:eastAsia="宋体" w:cs="宋体"/>
          <w:szCs w:val="24"/>
        </w:rPr>
        <w:t>被保险人保证按相关规范对上述设施进行定期检查并采取合理的维护措施。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露天存放及简易建筑内财产扩展条款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经双方同意，由于暴风、暴雨、龙卷风、台风、飓风、雷击、冰雹、暴雪、冰凌、洪水、沙尘暴造成的存放于露天或简易建筑内的保险标的的损失，保险人按照本保险合同的约定负责赔偿。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被保险人对露天及简易建筑内财产的存放，应符合仓储及有关部门的规定，并采取相应的安全防护措施。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便携式设备扩展条款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本公司同意将便携式通讯装置、便携式计算机设备、便携式照相摄像器材以及其他便携式装置、设备等作为特约承保财产，同意负责上述财产在承保地址范围内或因工作原因带出保险财产地址或在临时移动过程中所遭受的保险责任范围内的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恶意破坏扩展条款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经双方同意，由于第三者恶意破坏行为造成保险标的的损失，保险人按照本保险合同的约定负责赔偿。</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烟熏扩展条款/烟损条款</w:t>
      </w:r>
    </w:p>
    <w:p>
      <w:pPr>
        <w:pStyle w:val="11"/>
        <w:widowControl w:val="0"/>
        <w:snapToGrid w:val="0"/>
        <w:ind w:firstLine="480" w:firstLineChars="200"/>
        <w:jc w:val="both"/>
        <w:rPr>
          <w:rFonts w:ascii="宋体" w:hAnsi="宋体" w:eastAsia="宋体" w:cs="宋体"/>
          <w:bCs/>
          <w:szCs w:val="24"/>
        </w:rPr>
      </w:pPr>
      <w:r>
        <w:rPr>
          <w:rFonts w:hint="eastAsia" w:ascii="宋体" w:hAnsi="宋体" w:eastAsia="宋体" w:cs="宋体"/>
          <w:bCs/>
          <w:szCs w:val="24"/>
        </w:rPr>
        <w:t>经双方同意，由于意外事故引起烟熏造成保险标的的直接物质损失或清除污迹的费用，保险人按照本保险合同的约定负责赔偿。</w:t>
      </w:r>
    </w:p>
    <w:p>
      <w:pPr>
        <w:pStyle w:val="11"/>
        <w:widowControl w:val="0"/>
        <w:snapToGrid w:val="0"/>
        <w:ind w:firstLine="480" w:firstLineChars="200"/>
        <w:jc w:val="both"/>
        <w:rPr>
          <w:rFonts w:ascii="宋体" w:hAnsi="宋体" w:eastAsia="宋体" w:cs="宋体"/>
          <w:szCs w:val="24"/>
        </w:rPr>
      </w:pPr>
      <w:r>
        <w:rPr>
          <w:rFonts w:hint="eastAsia" w:ascii="宋体" w:hAnsi="宋体" w:eastAsia="宋体" w:cs="宋体"/>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自动喷淋系统水损扩展条款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经双方同意，由于自动喷淋系统的突然破裂、失灵造成保险标的的损失，保险人按照本保险合同的约定负责赔偿。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水箱、水管爆裂条款</w:t>
      </w:r>
    </w:p>
    <w:p>
      <w:pPr>
        <w:snapToGrid w:val="0"/>
        <w:spacing w:line="360" w:lineRule="auto"/>
        <w:ind w:firstLine="480" w:firstLineChars="200"/>
        <w:rPr>
          <w:rFonts w:ascii="宋体" w:hAnsi="宋体" w:cs="宋体"/>
          <w:color w:val="000000"/>
          <w:sz w:val="24"/>
          <w:szCs w:val="24"/>
          <w:lang w:val="zh-TW" w:eastAsia="zh-TW"/>
        </w:rPr>
      </w:pPr>
      <w:r>
        <w:rPr>
          <w:rFonts w:hint="eastAsia" w:ascii="宋体" w:hAnsi="宋体" w:cs="宋体"/>
          <w:color w:val="000000"/>
          <w:sz w:val="24"/>
          <w:szCs w:val="24"/>
          <w:lang w:val="zh-TW" w:eastAsia="zh-TW"/>
        </w:rPr>
        <w:t>经双方同意，由于水箱、水管因雷击、飞行物体及其他空中运行物体坠落、高压、碰撞、严寒、高温造成爆裂，致使其本身损失以及由此引起的其他保险标的损失</w:t>
      </w:r>
      <w:r>
        <w:rPr>
          <w:rFonts w:hint="eastAsia" w:ascii="宋体" w:hAnsi="宋体" w:cs="宋体"/>
          <w:color w:val="000000"/>
          <w:sz w:val="24"/>
          <w:szCs w:val="24"/>
          <w:lang w:val="zh-TW"/>
        </w:rPr>
        <w:t>及费用</w:t>
      </w:r>
      <w:r>
        <w:rPr>
          <w:rFonts w:hint="eastAsia" w:ascii="宋体" w:hAnsi="宋体" w:cs="宋体"/>
          <w:color w:val="000000"/>
          <w:sz w:val="24"/>
          <w:szCs w:val="24"/>
          <w:lang w:val="zh-TW" w:eastAsia="zh-TW"/>
        </w:rPr>
        <w:t>，保险人按照本保险合同的约定负责赔偿。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建筑物变动条款</w:t>
      </w:r>
    </w:p>
    <w:p>
      <w:pPr>
        <w:snapToGrid w:val="0"/>
        <w:spacing w:line="360" w:lineRule="auto"/>
        <w:ind w:firstLine="435"/>
        <w:rPr>
          <w:rFonts w:ascii="宋体" w:hAnsi="宋体" w:cs="宋体"/>
          <w:color w:val="000000"/>
          <w:sz w:val="24"/>
          <w:szCs w:val="24"/>
        </w:rPr>
      </w:pPr>
      <w:r>
        <w:rPr>
          <w:rFonts w:hint="eastAsia" w:ascii="宋体" w:hAnsi="宋体" w:cs="宋体"/>
          <w:color w:val="000000"/>
          <w:sz w:val="24"/>
          <w:szCs w:val="24"/>
          <w:lang w:val="zh-TW" w:eastAsia="zh-TW"/>
        </w:rPr>
        <w:t>经双方同意，由于本保险合同中载明的保险标的地址内的建筑物进行扩建、改建、维修、装修过程中发生保险责任范围内的损失，保险人按照本保险合同的约定负责赔偿。</w:t>
      </w:r>
    </w:p>
    <w:p>
      <w:pPr>
        <w:snapToGrid w:val="0"/>
        <w:spacing w:line="360" w:lineRule="auto"/>
        <w:ind w:firstLine="435"/>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碰撞扩展条款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经双方同意，由于非被保险人及其雇员所有的或管控的动物、车辆及船舶等交通工具的碰撞造成保险标的的损失，保险人按照本保险合同的约定负责赔偿。</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存货变质条款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保险人将赔偿被保险人因冷冻或冷藏设备不可预料及突然的故障导致的存货变质的损失。</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 xml:space="preserve">流动机械扩展条款 </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本保险合同扩展承保被保险运输工具（领有公共牌照的车辆除外）、流动机械、成品车在保险财产地址范围内或各列明地址之间的移动过程中因承保风险造成的损失及相关费用，包括此类设备在装卸过程中发生的碰撞或跌落损失。</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清理残骸费用扩展条款</w:t>
      </w:r>
    </w:p>
    <w:p>
      <w:pPr>
        <w:autoSpaceDE w:val="0"/>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bCs/>
          <w:kern w:val="0"/>
          <w:sz w:val="24"/>
          <w:szCs w:val="24"/>
        </w:rPr>
        <w:t>经双方同意，因发生保险责任范围内的损失而产生的清除、拆除或支撑受损保险标的的费用，</w:t>
      </w:r>
      <w:r>
        <w:rPr>
          <w:rFonts w:hint="eastAsia" w:ascii="宋体" w:hAnsi="宋体" w:cs="宋体"/>
          <w:sz w:val="24"/>
          <w:szCs w:val="24"/>
        </w:rPr>
        <w:t>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专业费用扩展条款</w:t>
      </w:r>
    </w:p>
    <w:p>
      <w:pPr>
        <w:autoSpaceDE w:val="0"/>
        <w:autoSpaceDN w:val="0"/>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发生保险责任范围内的损失后，在恢复受损保险标的过程中发生的必要、合理的设计师、检验师及工程咨询人费用，保险人按照本保险合同的约定负责赔偿，但被保险人为准备索赔或估损所发生的任何费用，保险人不负责赔偿。</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保险人对上述费用的赔偿以恢复受损保险标的时有关行业管理部门的收费规定为准，但最高</w:t>
      </w:r>
      <w:r>
        <w:rPr>
          <w:rFonts w:hint="eastAsia" w:ascii="宋体" w:hAnsi="宋体" w:cs="宋体"/>
          <w:sz w:val="24"/>
          <w:szCs w:val="24"/>
        </w:rPr>
        <w:t>不超过本保险合同中载明的相应赔偿限额。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特别费用扩展条款（</w:t>
      </w:r>
      <w:r>
        <w:rPr>
          <w:rFonts w:hint="eastAsia" w:ascii="宋体" w:hAnsi="宋体" w:cs="宋体"/>
          <w:sz w:val="24"/>
          <w:szCs w:val="24"/>
        </w:rPr>
        <w:t>包括星期日、节假日、夜晚加班</w:t>
      </w:r>
      <w:r>
        <w:rPr>
          <w:rFonts w:hint="eastAsia" w:ascii="宋体" w:hAnsi="宋体" w:cs="宋体"/>
          <w:b/>
          <w:sz w:val="24"/>
          <w:szCs w:val="24"/>
        </w:rPr>
        <w:t>）</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经双方同意，发生保险责任范围内的损失，为及时修复或恢复保险标的而发生的特别费用，即加班费及快运费（但不包括空运费），保险人按照本保险合同的约定负责赔偿。</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本附加条款项下保险人的赔偿责任不超过本保险合同中载明的相应赔偿限额。</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空运费扩展条款</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经双方同意，发生保险责任范围内的损失，为及时修复或恢复保险标的而发生的空运费，保险人按照本保险合同的约定负责赔偿。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bCs/>
          <w:kern w:val="0"/>
          <w:sz w:val="24"/>
          <w:szCs w:val="24"/>
        </w:rPr>
        <w:t>本附加条款项下保险人的赔偿责任不超过本保险合同中载明的相</w:t>
      </w:r>
      <w:r>
        <w:rPr>
          <w:rFonts w:hint="eastAsia" w:ascii="宋体" w:hAnsi="宋体" w:cs="宋体"/>
          <w:sz w:val="24"/>
          <w:szCs w:val="24"/>
        </w:rPr>
        <w:t>应赔偿限额。</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灭火费用扩展条款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经双方同意，被保险人为扑灭本保险合同中载明的保险标的地址内的火灾而发生的下列必要及合理的费用，保险人按照本保险合同的约定负责赔偿：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（一）雇员（不包括正常上班的雇员及属于被保险人专职消防队的雇员）协助灭火而产生的加班费用；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（二）对在灭火过程中使用过的灭火器材重新填充的费用；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（三）被保险人的雇员在灭火过程中直接损毁的个人物品。</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索赔费用条款</w:t>
      </w:r>
    </w:p>
    <w:p>
      <w:pPr>
        <w:widowControl/>
        <w:autoSpaceDE w:val="0"/>
        <w:autoSpaceDN w:val="0"/>
        <w:adjustRightInd w:val="0"/>
        <w:snapToGrid w:val="0"/>
        <w:spacing w:line="360" w:lineRule="auto"/>
        <w:ind w:firstLine="540" w:firstLineChars="225"/>
        <w:jc w:val="left"/>
        <w:rPr>
          <w:rFonts w:ascii="宋体" w:hAnsi="宋体" w:cs="宋体"/>
          <w:bCs/>
          <w:kern w:val="0"/>
          <w:sz w:val="24"/>
          <w:szCs w:val="24"/>
        </w:rPr>
      </w:pPr>
      <w:r>
        <w:rPr>
          <w:rFonts w:hint="eastAsia" w:ascii="宋体" w:hAnsi="宋体" w:cs="宋体"/>
          <w:bCs/>
          <w:kern w:val="0"/>
          <w:sz w:val="24"/>
          <w:szCs w:val="24"/>
          <w:lang w:val="zh-TW"/>
        </w:rPr>
        <w:t>经双方同意，</w:t>
      </w:r>
      <w:r>
        <w:rPr>
          <w:rFonts w:hint="eastAsia" w:ascii="宋体" w:hAnsi="宋体" w:cs="宋体"/>
          <w:bCs/>
          <w:kern w:val="0"/>
          <w:sz w:val="24"/>
          <w:szCs w:val="24"/>
          <w:lang w:val="zh-TW" w:eastAsia="zh-TW"/>
        </w:rPr>
        <w:t>在事先征得保险公司的同意后，本保险扩展承保被保险人在准备索赔过程中为制作或证明保险公司所需的任何记录、信息、证据或其他证明材料而所花费的合理的材料和人工费用。本保险单项下保险公司对财产损失及此类费用的总赔偿金额以保险金额为限。</w:t>
      </w:r>
    </w:p>
    <w:p>
      <w:pPr>
        <w:widowControl/>
        <w:autoSpaceDE w:val="0"/>
        <w:autoSpaceDN w:val="0"/>
        <w:adjustRightInd w:val="0"/>
        <w:ind w:firstLine="540" w:firstLineChars="225"/>
        <w:jc w:val="left"/>
        <w:rPr>
          <w:rFonts w:ascii="宋体" w:hAnsi="宋体" w:cs="宋体"/>
          <w:b/>
          <w:sz w:val="24"/>
          <w:szCs w:val="24"/>
        </w:rPr>
      </w:pPr>
      <w:r>
        <w:rPr>
          <w:rFonts w:hint="eastAsia" w:ascii="宋体" w:hAnsi="宋体" w:cs="宋体"/>
          <w:bCs/>
          <w:kern w:val="0"/>
          <w:sz w:val="24"/>
          <w:szCs w:val="24"/>
          <w:lang w:val="zh-TW" w:eastAsia="zh-TW"/>
        </w:rPr>
        <w:t>本附加险条款与主险条款内容相悖之处，以本附加险条款为准；未尽之处，以主险条款为准。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公共当局扩展条款</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经双方同意，因保险事故造成保险标的损失，在重建或修复时，由于必须执行公共当局的有关法律、法令、法规产生的额外费用，</w:t>
      </w:r>
      <w:r>
        <w:rPr>
          <w:rFonts w:hint="eastAsia" w:ascii="宋体" w:hAnsi="宋体" w:cs="宋体"/>
          <w:sz w:val="24"/>
          <w:szCs w:val="24"/>
        </w:rPr>
        <w:t>保险人按照本保险合同的约定负责赔偿</w:t>
      </w:r>
      <w:r>
        <w:rPr>
          <w:rFonts w:hint="eastAsia" w:ascii="宋体" w:hAnsi="宋体" w:cs="宋体"/>
          <w:bCs/>
          <w:kern w:val="0"/>
          <w:sz w:val="24"/>
          <w:szCs w:val="24"/>
        </w:rPr>
        <w:t>。但以下列约定为条件：</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（一）下列情况下执行上述法律、法令、法规产生的额外费用，保险人不负责赔偿：</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1、本条款生效之前发生的损失；</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2、本保险合同责任范围以外的损失；</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3、发生损失前被保险人已接到有关当局关于拆除、重建的通知；</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4、未受损保险标的（但不包括被保险的地基）的修复、拆除、重建。</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二）被保险人的重建、修复工作必须立即实施，并在损失发生之日起十二个月或经保险人书面同意延长的期限内完工；若根据有关法律、法令、法规及其附则，该受损保险标的必须在其他地点重建、修复时，保险人亦可赔偿，但保险人的赔偿责任不得因此增加。</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（三）若在本保险合同项下保险标的受损，但按本保险合同约定，保险人的赔偿责任减少时，则本附加条款项下的赔偿责任也相应减少。</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（四）保险人对任何一项受损保险标的的赔偿金额不得超过该项目在本保险合同中列明的保险金额。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临时保护措施扩展条款</w:t>
      </w:r>
    </w:p>
    <w:p>
      <w:pPr>
        <w:autoSpaceDE w:val="0"/>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rPr>
        <w:t>经双方同意，由于对受损保险标的进行合理的临时性修理、保护而产生的必要费用，保险人按照本保险合同的约定负责赔偿，但上述费用仅限于为防止受损保险标的遭受进一步损失所进行的修理、保护而产生的费用。</w:t>
      </w:r>
    </w:p>
    <w:p>
      <w:pPr>
        <w:autoSpaceDE w:val="0"/>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重新安装费用条款</w:t>
      </w:r>
    </w:p>
    <w:p>
      <w:pPr>
        <w:pStyle w:val="22"/>
        <w:snapToGrid w:val="0"/>
        <w:spacing w:before="0" w:beforeAutospacing="0" w:after="0" w:afterAutospacing="0" w:line="360" w:lineRule="auto"/>
        <w:ind w:firstLine="480" w:firstLineChars="200"/>
        <w:rPr>
          <w:rFonts w:ascii="宋体" w:hAnsi="宋体" w:eastAsia="宋体" w:cs="宋体"/>
        </w:rPr>
      </w:pPr>
      <w:r>
        <w:rPr>
          <w:rFonts w:hint="eastAsia" w:ascii="宋体" w:hAnsi="宋体" w:eastAsia="宋体" w:cs="宋体"/>
        </w:rPr>
        <w:t>经双方同意并约定，本保单扩展承保由于任何承保风险造成的损坏而导致的重新安装、安置机器设备的费用。但本保单项下的总赔偿金额以保险金额为限。</w:t>
      </w:r>
    </w:p>
    <w:p>
      <w:pPr>
        <w:pStyle w:val="22"/>
        <w:snapToGrid w:val="0"/>
        <w:spacing w:before="0" w:beforeAutospacing="0" w:after="0" w:afterAutospacing="0" w:line="360" w:lineRule="auto"/>
        <w:ind w:firstLine="480" w:firstLineChars="200"/>
        <w:rPr>
          <w:rFonts w:ascii="宋体" w:hAnsi="宋体" w:eastAsia="宋体" w:cs="宋体"/>
        </w:rPr>
      </w:pPr>
      <w:r>
        <w:rPr>
          <w:rFonts w:hint="eastAsia" w:ascii="宋体" w:hAnsi="宋体" w:eastAsia="宋体" w:cs="宋体"/>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车辆装载物扩展条款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经双方同意，由于保险事故造成装载于停置在本保险合同中载明的保险标的地址内车辆或货柜中的保险标的的损失，保险人按照本保险合同的约定负责赔偿。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临时移动扩展条款</w:t>
      </w:r>
    </w:p>
    <w:p>
      <w:pPr>
        <w:autoSpaceDE w:val="0"/>
        <w:autoSpaceDN w:val="0"/>
        <w:adjustRightInd w:val="0"/>
        <w:snapToGrid w:val="0"/>
        <w:spacing w:line="360" w:lineRule="auto"/>
        <w:ind w:firstLine="480" w:firstLineChars="200"/>
        <w:rPr>
          <w:rFonts w:ascii="宋体" w:hAnsi="宋体" w:cs="宋体"/>
          <w:color w:val="FF0000"/>
          <w:sz w:val="24"/>
          <w:szCs w:val="24"/>
        </w:rPr>
      </w:pPr>
      <w:r>
        <w:rPr>
          <w:rFonts w:hint="eastAsia" w:ascii="宋体" w:hAnsi="宋体" w:cs="宋体"/>
          <w:sz w:val="24"/>
          <w:szCs w:val="24"/>
        </w:rPr>
        <w:t>经双方同意，保险标的（不包括存货）因为清洁、改装、维修或其他类似目的，临时从本保险合同中载明的保险标的地址移动至中华人民共和国境内（不包括香港、澳门、台湾）的任何地方，在陆路、水路、铁路和航空往返运输途中因保险事故造成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pStyle w:val="15"/>
        <w:autoSpaceDE w:val="0"/>
        <w:autoSpaceDN w:val="0"/>
        <w:adjustRightInd w:val="0"/>
        <w:snapToGrid w:val="0"/>
        <w:rPr>
          <w:rFonts w:ascii="宋体" w:hAnsi="宋体" w:eastAsia="宋体" w:cs="宋体"/>
          <w:szCs w:val="24"/>
        </w:rPr>
      </w:pPr>
      <w:r>
        <w:rPr>
          <w:rFonts w:hint="eastAsia" w:ascii="宋体" w:hAnsi="宋体" w:eastAsia="宋体" w:cs="宋体"/>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内陆运输扩展条款</w:t>
      </w:r>
    </w:p>
    <w:p>
      <w:pPr>
        <w:autoSpaceDE w:val="0"/>
        <w:autoSpaceDN w:val="0"/>
        <w:adjustRightInd w:val="0"/>
        <w:snapToGrid w:val="0"/>
        <w:spacing w:line="360" w:lineRule="auto"/>
        <w:ind w:firstLine="570"/>
        <w:rPr>
          <w:rFonts w:ascii="宋体" w:hAnsi="宋体" w:cs="宋体"/>
          <w:bCs/>
          <w:kern w:val="0"/>
          <w:sz w:val="24"/>
          <w:szCs w:val="24"/>
        </w:rPr>
      </w:pPr>
      <w:r>
        <w:rPr>
          <w:rFonts w:hint="eastAsia" w:ascii="宋体" w:hAnsi="宋体" w:cs="宋体"/>
          <w:bCs/>
          <w:kern w:val="0"/>
          <w:sz w:val="24"/>
          <w:szCs w:val="24"/>
        </w:rPr>
        <w:t>经双方同意，在本保险合同约定的地域范围内，保险标的在除水运和空运以外的内陆运输途中（包括装卸过程中和不超过15天的临时存放期间），因本保险合同责任范围内的事故造成的损失，保险人按照本保险合同的约定负责赔偿，但保险标的的运输必须有合适的包装及装载。</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bookmarkStart w:id="276" w:name="_错误和遗漏条款"/>
      <w:bookmarkEnd w:id="276"/>
      <w:r>
        <w:rPr>
          <w:rFonts w:hint="eastAsia" w:ascii="宋体" w:hAnsi="宋体" w:cs="宋体"/>
          <w:b/>
          <w:sz w:val="24"/>
          <w:szCs w:val="24"/>
        </w:rPr>
        <w:t>自动承保新地址与未指明仓储地址条款</w:t>
      </w:r>
    </w:p>
    <w:p>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经双方同意，本保险合同负责承保被保险人名下或负责的新建成、新运到、新转让的财产及未指明的仓储地址（除另外投保）。被保险人应在可行情况下尽快将新添置财产资料通知保险人，并根据原定费率按日比例缴纳附加保险费。</w:t>
      </w:r>
    </w:p>
    <w:p>
      <w:pPr>
        <w:snapToGrid w:val="0"/>
        <w:spacing w:line="360" w:lineRule="auto"/>
        <w:ind w:firstLine="480" w:firstLineChars="200"/>
        <w:rPr>
          <w:rFonts w:ascii="宋体" w:hAnsi="宋体" w:cs="宋体"/>
          <w:b/>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增加资产扩展条款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经双方同意，本保险合同生效后，被保险人在中华人民共和国境内（不包括香港、澳门、台湾）新增加的资产，但不包括财产本身的升值及存货，保险人按照本保险合同的约定承担保险责任，</w:t>
      </w:r>
      <w:r>
        <w:rPr>
          <w:rFonts w:hint="eastAsia" w:ascii="宋体" w:hAnsi="宋体" w:cs="宋体"/>
          <w:color w:val="000000"/>
          <w:sz w:val="24"/>
          <w:szCs w:val="24"/>
          <w:lang w:val="zh-TW"/>
        </w:rPr>
        <w:t>增加的金额以不超过本保险合同中约定的相应限额。</w:t>
      </w:r>
      <w:r>
        <w:rPr>
          <w:rFonts w:hint="eastAsia" w:ascii="宋体" w:hAnsi="宋体" w:cs="宋体"/>
          <w:color w:val="000000"/>
          <w:sz w:val="24"/>
          <w:szCs w:val="24"/>
        </w:rPr>
        <w:t>被保险人应每季度申报增加的财产价值。超过本合同载明的限额部分，被保险人自新增保障开始日起应按日比例进行缴纳保费</w:t>
      </w:r>
    </w:p>
    <w:p>
      <w:pPr>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 xml:space="preserve">在建工程（含保险期内新增工程）扩展条款 </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经双方同意，保险人同意按照以下要求，扩展承保本保险合同载明的在建工程（含保险期内新增工程）在工地范围内，因本保险合同除外责任以外的任何自然灾害或意外事故造成的物质损坏或灭失有关费用：</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（一）上述在建工程包括建筑/安装完成时的总价值，包括设备费用、原材料费用、安装费、建造费、运输费和保险费、关税、其他税项和费用，以及由被保险人提供的原材料和设备的费用； </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保险人的保险责任自在建工程在工地动工或用于保险工程的材料、设备运抵工地之时起始，至部分或全部工程转入固定资产帐内终止（转入部分在固定资产相关项下的保险责任继续有效）。但在任何情况下，在建工程保险期限的起始或终止不得超出本保险合同明细表中列明的保险生效日或终止日。</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被保险人应每季度向保险人申报工程新增费用，并据此按日比例补缴自新增之日起的保险费。保险人承诺当发生损失时，即使被保险在建工程的实际价值超过保险金额和已申报金额之总额，保险人也视同足额投保进行赔偿。</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（四）被保险人采取或同意或允许采取保险人认为必要和合理的一切措施,以便保险人行使任何权利，或从其他方取得在其对本保险合同项下的损失进行赔付或修理后将被赋予或转让的补偿。</w:t>
      </w:r>
    </w:p>
    <w:p>
      <w:pPr>
        <w:snapToGrid w:val="0"/>
        <w:spacing w:line="360" w:lineRule="auto"/>
        <w:ind w:firstLine="480" w:firstLineChars="200"/>
        <w:rPr>
          <w:rFonts w:ascii="宋体" w:hAnsi="宋体" w:cs="宋体"/>
          <w:b/>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85％扩展条款</w:t>
      </w:r>
    </w:p>
    <w:p>
      <w:pPr>
        <w:pStyle w:val="8"/>
        <w:snapToGrid w:val="0"/>
        <w:spacing w:line="360" w:lineRule="auto"/>
        <w:ind w:firstLineChars="200"/>
        <w:rPr>
          <w:rFonts w:ascii="宋体" w:hAnsi="宋体" w:cs="宋体"/>
          <w:szCs w:val="24"/>
        </w:rPr>
      </w:pPr>
      <w:r>
        <w:rPr>
          <w:rFonts w:hint="eastAsia" w:ascii="宋体" w:hAnsi="宋体" w:cs="宋体"/>
          <w:szCs w:val="24"/>
        </w:rPr>
        <w:t>经双方同意，保险事故发生时，若保险金额达到保险价值的85％，保险人在保险金额以内按实际损失计算赔偿；若保险金额不足保险价值的85％，保险人按保险金额与保险价值的比例计算赔偿。本保险合同所列标的不止一项时，应分项按照本附加条款约定计算赔偿。</w:t>
      </w:r>
    </w:p>
    <w:p>
      <w:pPr>
        <w:pStyle w:val="8"/>
        <w:snapToGrid w:val="0"/>
        <w:spacing w:line="360" w:lineRule="auto"/>
        <w:ind w:firstLineChars="200"/>
        <w:rPr>
          <w:rFonts w:ascii="宋体" w:hAnsi="宋体" w:cs="宋体"/>
          <w:szCs w:val="24"/>
        </w:rPr>
      </w:pPr>
      <w:r>
        <w:rPr>
          <w:rFonts w:hint="eastAsia" w:ascii="宋体" w:hAnsi="宋体" w:cs="宋体"/>
          <w:szCs w:val="24"/>
        </w:rPr>
        <w:t>本附加条款不适用于存货。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放弃代位追偿扩展条款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经双方同意，保险人同意放弃对下列各方可能拥有的代位请求赔偿的权利：</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（一）被保险人的关联或联营公司；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（二）被保险人的子公司或控股公司；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（三）被保险人的董事、合伙人；</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（四）被保险人的雇员。</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但上述各方的故意行为造成保险事故的，保险人保留代位请求赔偿的权利。</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仓储财产申报条款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经双方同意，投保人、被保险人已支付的本保险合同中载明的仓储财产的保险费为预付保险费，保险人将根据有关约定进行调整：</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（一）被保险人应在每季度结束后三十天内向保险人申报该季度最后一天的库存价值，若被保险人没有按期申报或申报金额低于保险金额，本保险合同中载明的保险金额将视作当期的申报库存价值。</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（二）发生损失时，若保险仓储财产的实际库存价值超过保险金额，保险人按照保险金额与仓储财产实际库存价值的比例计算赔偿。</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（三）保险期间届满时，保险费将根据申报库存价值的平均数作调整，但退还的保险费不得超过预付保险费的50%。</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（四）发生损失后，保险金额将自动恢复，但被保险人应支付自损失发生之日起至本保险合同保险期间届满之日止期间的保险费。</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自动恢复保险金额条款</w:t>
      </w:r>
    </w:p>
    <w:p>
      <w:pPr>
        <w:pStyle w:val="2"/>
        <w:adjustRightInd w:val="0"/>
        <w:snapToGrid w:val="0"/>
        <w:spacing w:after="0" w:line="360" w:lineRule="auto"/>
        <w:ind w:firstLine="480" w:firstLineChars="200"/>
        <w:rPr>
          <w:rFonts w:ascii="宋体" w:hAnsi="宋体" w:cs="宋体"/>
          <w:sz w:val="24"/>
        </w:rPr>
      </w:pPr>
      <w:r>
        <w:rPr>
          <w:rFonts w:hint="eastAsia" w:ascii="宋体" w:hAnsi="宋体" w:cs="宋体"/>
          <w:sz w:val="24"/>
        </w:rPr>
        <w:t>经双方同意，发生保险责任范围内的损失时，各项受损保险标的的保险金额自动恢复，但被保险人应按日比例支付恢复部分自损失发生之日起至本保险合同保险期间届满之日止期间的保险费。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重置价值条款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经双方同意，若投保人与保险人约定保险价值为出险时的重置价值，则适用下列约定：</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（一）发生保险事故后，被保险人应对受损保险标的进行重置。</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重置是指：</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1、替换、重建保险标的；</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2、修理、修复保险标的。</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无论采用上述哪一种方式，目的是使保险标的的受损部分经过重置后达到其全新时的状态。</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（二）若遇下列情况，保险价值变更为出险时的市场价值：</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1、被保险人没有合理的原因和理由而推迟、延误重置工作；</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2、被保险人没有对受损保险标的进行重置；</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3、发生损失时，若存在重复保险且其他保险合同没有按重置价值承保。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错误和遗漏条款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并支付从风险增加之日起至保险期间届满之日止期间可能的额外保险费，否则保险人不承担保险责任。</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不受控制条款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经双方同意，被保险人在无法控制或不存在过错的情况下违反本保险合同的条件和保证，本保险合同的保障不受影响。</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不使失效条款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在投保人、被保险人完全不知情的情况下，本保险合同不因保险标的所占用场地或价值的变更、保险标的危险程度的增加或其他重要事项的变化而失效。但投保人、被保险人一旦知道该情况，应立即通知保险人，并支付从风险增加之日起至保险期间届满之日止期间可能的额外保险费，否则保险人不承担保险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违反条件条款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经双方同意，被保险人违反了本保险合同约定的条件和保证时，仅使这些违反的条件和保证所对应的保障失效，而不影响其他保障的效力。</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时间调整条款（72小时）</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本保险合同项下保险标的在连续72小时内遭受暴风雨、台风、洪水或地震所致损失应视为一单独事件，在计算赔偿时视为一次保险事故。被保险人可自行决定72小时的起始时间，但若在连续数个72小时时间内发生损失，任何两个或两个以上72小时期限不得重叠。</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指定公估人条款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当发生保险责任范围内的损失，估损金额超过本保险合同中载明的金额RMB10万时，双方同意指定中衡保险公估股份有限公司或上海恒量保险公估有限公司或双方认可的有合法执业资格的机构作为公估人，公估费用由保险人承担。</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预付赔款条款</w:t>
      </w:r>
    </w:p>
    <w:p>
      <w:pPr>
        <w:adjustRightInd w:val="0"/>
        <w:snapToGrid w:val="0"/>
        <w:spacing w:line="360" w:lineRule="auto"/>
        <w:ind w:firstLine="480" w:firstLineChars="200"/>
        <w:rPr>
          <w:rFonts w:ascii="宋体" w:hAnsi="宋体" w:cs="宋体"/>
          <w:sz w:val="24"/>
          <w:szCs w:val="24"/>
          <w:lang w:val="zh-TW" w:eastAsia="zh-TW"/>
        </w:rPr>
      </w:pPr>
      <w:r>
        <w:rPr>
          <w:rFonts w:hint="eastAsia" w:ascii="宋体" w:hAnsi="宋体" w:cs="宋体"/>
          <w:sz w:val="24"/>
          <w:szCs w:val="24"/>
          <w:lang w:val="zh-TW" w:eastAsia="zh-TW"/>
        </w:rPr>
        <w:t>发生重大保险事故（估损金额超过</w:t>
      </w:r>
      <w:r>
        <w:rPr>
          <w:rFonts w:hint="eastAsia" w:ascii="宋体" w:hAnsi="宋体" w:cs="宋体"/>
          <w:sz w:val="24"/>
          <w:szCs w:val="24"/>
          <w:lang w:val="zh-TW"/>
        </w:rPr>
        <w:t>人民币</w:t>
      </w:r>
      <w:r>
        <w:rPr>
          <w:rFonts w:hint="eastAsia" w:ascii="宋体" w:hAnsi="宋体" w:cs="宋体"/>
          <w:sz w:val="24"/>
          <w:szCs w:val="24"/>
        </w:rPr>
        <w:t>500万元</w:t>
      </w:r>
      <w:r>
        <w:rPr>
          <w:rFonts w:hint="eastAsia" w:ascii="宋体" w:hAnsi="宋体" w:cs="宋体"/>
          <w:sz w:val="24"/>
          <w:szCs w:val="24"/>
          <w:lang w:val="zh-TW" w:eastAsia="zh-TW"/>
        </w:rPr>
        <w:t>）后，在保险责任明确但损失金额尚不能确定的情况下，保险人应在接到被保险人书面申请后</w:t>
      </w:r>
      <w:r>
        <w:rPr>
          <w:rFonts w:hint="eastAsia" w:ascii="宋体" w:hAnsi="宋体" w:cs="宋体"/>
          <w:sz w:val="24"/>
          <w:szCs w:val="24"/>
        </w:rPr>
        <w:t>5</w:t>
      </w:r>
      <w:r>
        <w:rPr>
          <w:rFonts w:hint="eastAsia" w:ascii="宋体" w:hAnsi="宋体" w:cs="宋体"/>
          <w:sz w:val="24"/>
          <w:szCs w:val="24"/>
          <w:lang w:val="zh-TW" w:eastAsia="zh-TW"/>
        </w:rPr>
        <w:t>个工作日内按估损金额的50%预付赔款。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索赔单据条款</w:t>
      </w:r>
    </w:p>
    <w:p>
      <w:pPr>
        <w:adjustRightInd w:val="0"/>
        <w:snapToGrid w:val="0"/>
        <w:spacing w:line="360" w:lineRule="auto"/>
        <w:ind w:firstLine="540" w:firstLineChars="225"/>
        <w:rPr>
          <w:rFonts w:ascii="宋体" w:hAnsi="宋体" w:cs="宋体"/>
          <w:sz w:val="24"/>
          <w:szCs w:val="24"/>
        </w:rPr>
      </w:pPr>
      <w:r>
        <w:rPr>
          <w:rFonts w:hint="eastAsia" w:ascii="宋体" w:hAnsi="宋体" w:cs="宋体"/>
          <w:sz w:val="24"/>
          <w:szCs w:val="24"/>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紧急抢险条款</w:t>
      </w:r>
    </w:p>
    <w:p>
      <w:pPr>
        <w:pStyle w:val="19"/>
        <w:adjustRightInd w:val="0"/>
        <w:snapToGrid w:val="0"/>
        <w:spacing w:after="0" w:line="360" w:lineRule="auto"/>
        <w:ind w:left="0" w:leftChars="0" w:firstLine="480" w:firstLineChars="200"/>
        <w:rPr>
          <w:rFonts w:ascii="宋体" w:hAnsi="宋体" w:cs="宋体"/>
          <w:sz w:val="24"/>
          <w:szCs w:val="24"/>
        </w:rPr>
      </w:pPr>
      <w:r>
        <w:rPr>
          <w:rFonts w:hint="eastAsia" w:ascii="宋体" w:hAnsi="宋体" w:cs="宋体"/>
          <w:sz w:val="24"/>
          <w:szCs w:val="24"/>
        </w:rPr>
        <w:t>经双方同意，保险事故发生后，如保险人在接到被保险人出险通知两小时内未到达事故现场，且对紧急抢险措施未提出反对意见，被保险人可按照规范要求以及生产与安全需要，立即组织抢险、抢修工作，但被保险人应认真做好相关记录，并在条件许可时对第一现场情况进行拍照或录像。</w:t>
      </w:r>
    </w:p>
    <w:p>
      <w:pPr>
        <w:pStyle w:val="19"/>
        <w:adjustRightInd w:val="0"/>
        <w:snapToGrid w:val="0"/>
        <w:spacing w:after="0" w:line="360" w:lineRule="auto"/>
        <w:ind w:left="0" w:leftChars="0"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2"/>
        <w:numPr>
          <w:ilvl w:val="0"/>
          <w:numId w:val="5"/>
        </w:numPr>
        <w:tabs>
          <w:tab w:val="left" w:pos="0"/>
          <w:tab w:val="left" w:pos="432"/>
          <w:tab w:val="left" w:pos="864"/>
          <w:tab w:val="left" w:pos="1440"/>
          <w:tab w:val="left" w:pos="1872"/>
          <w:tab w:val="left" w:pos="2232"/>
          <w:tab w:val="left" w:pos="2592"/>
          <w:tab w:val="left" w:pos="2862"/>
          <w:tab w:val="left" w:pos="3582"/>
          <w:tab w:val="left" w:pos="4320"/>
          <w:tab w:val="left" w:pos="5040"/>
          <w:tab w:val="left" w:pos="5760"/>
          <w:tab w:val="left" w:pos="6480"/>
          <w:tab w:val="left" w:pos="7200"/>
          <w:tab w:val="left" w:pos="7920"/>
          <w:tab w:val="left" w:pos="8640"/>
          <w:tab w:val="left" w:pos="9360"/>
          <w:tab w:val="left" w:pos="10080"/>
        </w:tabs>
        <w:spacing w:after="0" w:line="360" w:lineRule="auto"/>
        <w:rPr>
          <w:rFonts w:ascii="宋体" w:hAnsi="宋体" w:cs="宋体"/>
          <w:b/>
          <w:color w:val="000000"/>
          <w:sz w:val="24"/>
          <w:shd w:val="pct10" w:color="auto" w:fill="FFFFFF"/>
        </w:rPr>
      </w:pPr>
      <w:r>
        <w:rPr>
          <w:rFonts w:hint="eastAsia" w:ascii="宋体" w:hAnsi="宋体" w:cs="宋体"/>
          <w:b/>
          <w:sz w:val="24"/>
        </w:rPr>
        <w:t>50/50条款</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经双方同意，对于从外部运抵本保险合同中载明的保险标的地址的保险标的，被保险人应立即检验其可能发生的损失，若存在以下任何情况，保险人不承担赔偿责任：</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（一）裸装货物损失明显；</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（二）货物外包装有明显货损迹象；</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（三）货物外包装无货损迹象且运抵至开箱期间未发生任何事故，直至货物开箱时才发现损失。</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但有明显证据证明损失确系发生在运输终止后的，保险人按照本保险合同的约定承担赔偿责任。</w:t>
      </w:r>
    </w:p>
    <w:p>
      <w:pPr>
        <w:autoSpaceDE w:val="0"/>
        <w:autoSpaceDN w:val="0"/>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无明显证据确定损失的发生时间的，保险人按照本保险合同的约定承担50％的赔偿责任。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2"/>
        <w:numPr>
          <w:ilvl w:val="0"/>
          <w:numId w:val="5"/>
        </w:numPr>
        <w:tabs>
          <w:tab w:val="left" w:pos="0"/>
          <w:tab w:val="left" w:pos="432"/>
          <w:tab w:val="left" w:pos="864"/>
          <w:tab w:val="left" w:pos="1440"/>
          <w:tab w:val="left" w:pos="1872"/>
          <w:tab w:val="left" w:pos="2232"/>
          <w:tab w:val="left" w:pos="2592"/>
          <w:tab w:val="left" w:pos="2862"/>
          <w:tab w:val="left" w:pos="3582"/>
          <w:tab w:val="left" w:pos="4320"/>
          <w:tab w:val="left" w:pos="5040"/>
          <w:tab w:val="left" w:pos="5760"/>
          <w:tab w:val="left" w:pos="6480"/>
          <w:tab w:val="left" w:pos="7200"/>
          <w:tab w:val="left" w:pos="7920"/>
          <w:tab w:val="left" w:pos="8640"/>
          <w:tab w:val="left" w:pos="9360"/>
          <w:tab w:val="left" w:pos="10080"/>
        </w:tabs>
        <w:spacing w:after="0" w:line="360" w:lineRule="auto"/>
        <w:rPr>
          <w:rFonts w:ascii="宋体" w:hAnsi="宋体" w:cs="宋体"/>
          <w:b/>
          <w:color w:val="000000"/>
          <w:sz w:val="24"/>
          <w:shd w:val="pct10" w:color="auto" w:fill="FFFFFF"/>
        </w:rPr>
      </w:pPr>
      <w:r>
        <w:rPr>
          <w:rFonts w:hint="eastAsia" w:ascii="宋体" w:hAnsi="宋体" w:cs="宋体"/>
          <w:b/>
          <w:sz w:val="24"/>
        </w:rPr>
        <w:t>租赁财产条款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经双方同意,本保险合同扩展承保用于抵押出租、临时或长期租用的保险标的。已在其他保险合同中承保的保险标的，不在此限。</w:t>
      </w:r>
    </w:p>
    <w:p>
      <w:pPr>
        <w:adjustRightInd w:val="0"/>
        <w:snapToGrid w:val="0"/>
        <w:spacing w:before="78" w:beforeLines="25"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rPr>
          <w:rFonts w:ascii="宋体" w:hAnsi="宋体" w:cs="宋体"/>
          <w:sz w:val="24"/>
          <w:szCs w:val="24"/>
        </w:rPr>
      </w:pPr>
      <w:r>
        <w:rPr>
          <w:rFonts w:hint="eastAsia" w:ascii="宋体" w:hAnsi="宋体" w:cs="宋体"/>
          <w:sz w:val="24"/>
          <w:szCs w:val="24"/>
        </w:rPr>
        <w:br w:type="page"/>
      </w:r>
    </w:p>
    <w:p>
      <w:pPr>
        <w:jc w:val="center"/>
        <w:rPr>
          <w:rFonts w:ascii="宋体" w:hAnsi="宋体" w:cs="宋体"/>
          <w:b/>
          <w:sz w:val="28"/>
          <w:szCs w:val="28"/>
        </w:rPr>
      </w:pPr>
      <w:r>
        <w:rPr>
          <w:rFonts w:hint="eastAsia" w:ascii="宋体" w:hAnsi="宋体" w:cs="宋体"/>
          <w:b/>
          <w:sz w:val="28"/>
          <w:szCs w:val="28"/>
        </w:rPr>
        <w:t>二、机器损坏险保险方案</w:t>
      </w:r>
    </w:p>
    <w:p>
      <w:pPr>
        <w:rPr>
          <w:rFonts w:ascii="宋体" w:hAnsi="宋体" w:cs="宋体"/>
          <w:b/>
          <w:sz w:val="24"/>
          <w:szCs w:val="24"/>
        </w:rPr>
      </w:pPr>
      <w:r>
        <w:rPr>
          <w:rFonts w:hint="eastAsia" w:ascii="宋体" w:hAnsi="宋体" w:cs="宋体"/>
          <w:b/>
          <w:sz w:val="24"/>
          <w:szCs w:val="24"/>
        </w:rPr>
        <w:t>（一）保险明细表</w:t>
      </w:r>
    </w:p>
    <w:tbl>
      <w:tblPr>
        <w:tblStyle w:val="24"/>
        <w:tblW w:w="85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74"/>
        <w:gridCol w:w="5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shd w:val="clear" w:color="auto" w:fill="8DB3E2"/>
          </w:tcPr>
          <w:p>
            <w:pPr>
              <w:spacing w:line="360" w:lineRule="auto"/>
              <w:jc w:val="center"/>
              <w:rPr>
                <w:rFonts w:ascii="宋体" w:hAnsi="宋体" w:cs="宋体"/>
                <w:b/>
                <w:bCs/>
                <w:szCs w:val="21"/>
              </w:rPr>
            </w:pPr>
            <w:r>
              <w:rPr>
                <w:rFonts w:hint="eastAsia" w:ascii="宋体" w:hAnsi="宋体" w:cs="宋体"/>
                <w:b/>
                <w:bCs/>
                <w:szCs w:val="21"/>
              </w:rPr>
              <w:t>保单明细表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tcPr>
          <w:p>
            <w:pPr>
              <w:spacing w:line="360" w:lineRule="auto"/>
              <w:jc w:val="left"/>
              <w:rPr>
                <w:rFonts w:ascii="宋体" w:hAnsi="宋体" w:cs="宋体"/>
                <w:b/>
                <w:bCs/>
                <w:szCs w:val="21"/>
              </w:rPr>
            </w:pPr>
            <w:r>
              <w:rPr>
                <w:rFonts w:hint="eastAsia" w:ascii="宋体" w:hAnsi="宋体" w:cs="宋体"/>
                <w:b/>
                <w:bCs/>
                <w:szCs w:val="21"/>
              </w:rPr>
              <w:t>一、投保人名称及地址：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投保人名称：</w:t>
            </w:r>
          </w:p>
        </w:tc>
        <w:tc>
          <w:tcPr>
            <w:tcW w:w="5323" w:type="dxa"/>
          </w:tcPr>
          <w:p>
            <w:pPr>
              <w:spacing w:line="360" w:lineRule="auto"/>
              <w:rPr>
                <w:rFonts w:ascii="宋体" w:hAnsi="宋体" w:cs="宋体"/>
                <w:szCs w:val="21"/>
              </w:rPr>
            </w:pPr>
            <w:r>
              <w:rPr>
                <w:rFonts w:hint="eastAsia" w:ascii="宋体" w:hAnsi="宋体" w:cs="宋体"/>
                <w:szCs w:val="21"/>
              </w:rPr>
              <w:t>江苏大生集团有限公司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投保人地址：</w:t>
            </w:r>
          </w:p>
        </w:tc>
        <w:tc>
          <w:tcPr>
            <w:tcW w:w="5323" w:type="dxa"/>
          </w:tcPr>
          <w:p>
            <w:pPr>
              <w:spacing w:line="360" w:lineRule="auto"/>
              <w:rPr>
                <w:rFonts w:ascii="宋体" w:hAnsi="宋体" w:cs="宋体"/>
                <w:szCs w:val="21"/>
              </w:rPr>
            </w:pPr>
            <w:r>
              <w:rPr>
                <w:rFonts w:hint="eastAsia" w:ascii="宋体" w:hAnsi="宋体" w:cs="宋体"/>
                <w:szCs w:val="21"/>
              </w:rPr>
              <w:t>南通唐闸南市街14号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tcPr>
          <w:p>
            <w:pPr>
              <w:spacing w:line="360" w:lineRule="auto"/>
              <w:jc w:val="left"/>
              <w:rPr>
                <w:rFonts w:ascii="宋体" w:hAnsi="宋体" w:cs="宋体"/>
                <w:b/>
                <w:bCs/>
                <w:szCs w:val="21"/>
              </w:rPr>
            </w:pPr>
            <w:r>
              <w:rPr>
                <w:rFonts w:hint="eastAsia" w:ascii="宋体" w:hAnsi="宋体" w:cs="宋体"/>
                <w:b/>
                <w:bCs/>
                <w:szCs w:val="21"/>
              </w:rPr>
              <w:t>二、被保险人名称及地址：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被保险人名称：</w:t>
            </w:r>
          </w:p>
        </w:tc>
        <w:tc>
          <w:tcPr>
            <w:tcW w:w="5323" w:type="dxa"/>
          </w:tcPr>
          <w:p>
            <w:pPr>
              <w:snapToGrid w:val="0"/>
              <w:spacing w:line="360" w:lineRule="auto"/>
              <w:rPr>
                <w:rFonts w:hint="eastAsia" w:ascii="宋体" w:hAnsi="宋体" w:cs="宋体"/>
                <w:bCs/>
                <w:szCs w:val="21"/>
                <w:lang w:eastAsia="zh-CN"/>
              </w:rPr>
            </w:pPr>
            <w:r>
              <w:rPr>
                <w:rFonts w:hint="eastAsia" w:ascii="宋体" w:hAnsi="宋体" w:cs="宋体"/>
                <w:bCs/>
                <w:szCs w:val="21"/>
              </w:rPr>
              <w:t>大生纺织（合肥）有限公司</w:t>
            </w:r>
            <w:r>
              <w:rPr>
                <w:rFonts w:hint="eastAsia" w:ascii="宋体" w:hAnsi="宋体" w:cs="宋体"/>
                <w:bCs/>
                <w:szCs w:val="21"/>
                <w:lang w:eastAsia="zh-CN"/>
              </w:rPr>
              <w:t>、</w:t>
            </w:r>
          </w:p>
          <w:p>
            <w:pPr>
              <w:pStyle w:val="2"/>
              <w:rPr>
                <w:rFonts w:hint="eastAsia"/>
                <w:lang w:eastAsia="zh-CN"/>
              </w:rPr>
            </w:pPr>
            <w:r>
              <w:rPr>
                <w:rFonts w:hint="eastAsia"/>
                <w:lang w:eastAsia="zh-CN"/>
              </w:rPr>
              <w:t>滨州大生纺织有限公司、</w:t>
            </w:r>
          </w:p>
          <w:p>
            <w:pPr>
              <w:pStyle w:val="2"/>
              <w:rPr>
                <w:rFonts w:hint="eastAsia"/>
                <w:lang w:eastAsia="zh-CN"/>
              </w:rPr>
            </w:pPr>
            <w:r>
              <w:rPr>
                <w:rFonts w:hint="eastAsia"/>
                <w:lang w:eastAsia="zh-CN"/>
              </w:rPr>
              <w:t>聊城大生纺织有限公司、</w:t>
            </w:r>
          </w:p>
          <w:p>
            <w:pPr>
              <w:spacing w:line="360" w:lineRule="auto"/>
              <w:rPr>
                <w:rFonts w:ascii="宋体" w:hAnsi="宋体" w:cs="宋体"/>
                <w:szCs w:val="21"/>
              </w:rPr>
            </w:pPr>
            <w:r>
              <w:rPr>
                <w:rFonts w:hint="eastAsia" w:ascii="宋体" w:hAnsi="宋体" w:cs="宋体"/>
                <w:bCs/>
                <w:szCs w:val="21"/>
              </w:rPr>
              <w:t>及相关利益方，以各自保险利益为限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被保险人地址：</w:t>
            </w:r>
          </w:p>
        </w:tc>
        <w:tc>
          <w:tcPr>
            <w:tcW w:w="5323" w:type="dxa"/>
          </w:tcPr>
          <w:p>
            <w:pPr>
              <w:rPr>
                <w:rFonts w:hint="eastAsia"/>
                <w:lang w:eastAsia="zh-CN"/>
              </w:rPr>
            </w:pPr>
            <w:r>
              <w:rPr>
                <w:rFonts w:hint="eastAsia"/>
              </w:rPr>
              <w:t>安徽省合肥市莲花路2888号大生纺织（合肥）有限公司</w:t>
            </w:r>
            <w:r>
              <w:rPr>
                <w:rFonts w:hint="eastAsia"/>
                <w:lang w:eastAsia="zh-CN"/>
              </w:rPr>
              <w:t>、</w:t>
            </w:r>
          </w:p>
          <w:p>
            <w:pPr>
              <w:pStyle w:val="2"/>
              <w:rPr>
                <w:rFonts w:hint="eastAsia"/>
                <w:lang w:eastAsia="zh-CN"/>
              </w:rPr>
            </w:pPr>
            <w:r>
              <w:rPr>
                <w:rFonts w:hint="eastAsia"/>
                <w:lang w:eastAsia="zh-CN"/>
              </w:rPr>
              <w:t>山东省滨州市滨城区黄河二路555号、</w:t>
            </w:r>
          </w:p>
          <w:p>
            <w:pPr>
              <w:spacing w:line="360" w:lineRule="auto"/>
              <w:rPr>
                <w:rFonts w:hint="eastAsia" w:ascii="宋体" w:hAnsi="宋体" w:eastAsia="宋体" w:cs="宋体"/>
                <w:szCs w:val="21"/>
                <w:lang w:eastAsia="zh-CN"/>
              </w:rPr>
            </w:pPr>
            <w:r>
              <w:rPr>
                <w:rFonts w:hint="eastAsia"/>
                <w:lang w:eastAsia="zh-CN"/>
              </w:rPr>
              <w:t>山东省聊城市经济技术开发区辽河路22号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三、营业性质：</w:t>
            </w:r>
          </w:p>
        </w:tc>
        <w:tc>
          <w:tcPr>
            <w:tcW w:w="5323" w:type="dxa"/>
          </w:tcPr>
          <w:p>
            <w:pPr>
              <w:spacing w:line="360" w:lineRule="auto"/>
              <w:rPr>
                <w:rFonts w:ascii="宋体" w:hAnsi="宋体" w:cs="宋体"/>
                <w:szCs w:val="21"/>
              </w:rPr>
            </w:pPr>
            <w:r>
              <w:rPr>
                <w:rFonts w:hint="eastAsia" w:ascii="宋体" w:hAnsi="宋体" w:cs="宋体"/>
                <w:szCs w:val="21"/>
              </w:rPr>
              <w:t>纺织品生产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四、保险财产地址：</w:t>
            </w:r>
          </w:p>
        </w:tc>
        <w:tc>
          <w:tcPr>
            <w:tcW w:w="5323" w:type="dxa"/>
          </w:tcPr>
          <w:p>
            <w:pPr>
              <w:rPr>
                <w:rFonts w:hint="eastAsia"/>
                <w:lang w:eastAsia="zh-CN"/>
              </w:rPr>
            </w:pPr>
            <w:r>
              <w:rPr>
                <w:rFonts w:hint="eastAsia"/>
              </w:rPr>
              <w:t>安徽省合肥市莲花路2888号大生纺织（合肥）有限公司</w:t>
            </w:r>
            <w:r>
              <w:rPr>
                <w:rFonts w:hint="eastAsia"/>
                <w:lang w:eastAsia="zh-CN"/>
              </w:rPr>
              <w:t>、</w:t>
            </w:r>
          </w:p>
          <w:p>
            <w:pPr>
              <w:pStyle w:val="2"/>
              <w:rPr>
                <w:rFonts w:hint="eastAsia"/>
                <w:lang w:eastAsia="zh-CN"/>
              </w:rPr>
            </w:pPr>
            <w:r>
              <w:rPr>
                <w:rFonts w:hint="eastAsia"/>
                <w:lang w:eastAsia="zh-CN"/>
              </w:rPr>
              <w:t>山东省滨州市滨城区黄河二路555号、</w:t>
            </w:r>
          </w:p>
          <w:p>
            <w:pPr>
              <w:spacing w:line="360" w:lineRule="auto"/>
              <w:rPr>
                <w:rFonts w:hint="eastAsia" w:ascii="宋体" w:hAnsi="宋体" w:eastAsia="宋体" w:cs="宋体"/>
                <w:szCs w:val="21"/>
                <w:lang w:eastAsia="zh-CN"/>
              </w:rPr>
            </w:pPr>
            <w:r>
              <w:rPr>
                <w:rFonts w:hint="eastAsia"/>
                <w:lang w:eastAsia="zh-CN"/>
              </w:rPr>
              <w:t>山东省聊城市经济技术开发区辽河路22号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五、保险价值</w:t>
            </w:r>
          </w:p>
        </w:tc>
        <w:tc>
          <w:tcPr>
            <w:tcW w:w="5323" w:type="dxa"/>
          </w:tcPr>
          <w:p>
            <w:pPr>
              <w:spacing w:line="360" w:lineRule="auto"/>
              <w:rPr>
                <w:rFonts w:ascii="宋体" w:hAnsi="宋体" w:cs="宋体"/>
                <w:szCs w:val="21"/>
              </w:rPr>
            </w:pPr>
            <w:r>
              <w:rPr>
                <w:rFonts w:hint="eastAsia" w:ascii="宋体" w:hAnsi="宋体" w:cs="宋体"/>
                <w:szCs w:val="21"/>
              </w:rPr>
              <w:t>按照出险时的重置价值确定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tcPr>
          <w:p>
            <w:pPr>
              <w:spacing w:line="360" w:lineRule="auto"/>
              <w:rPr>
                <w:rFonts w:ascii="宋体" w:hAnsi="宋体" w:cs="宋体"/>
                <w:szCs w:val="21"/>
              </w:rPr>
            </w:pPr>
            <w:r>
              <w:rPr>
                <w:rFonts w:hint="eastAsia" w:ascii="宋体" w:hAnsi="宋体" w:cs="宋体"/>
                <w:b/>
                <w:szCs w:val="21"/>
              </w:rPr>
              <w:t>六、保险标的与保险金额：（按清单投保）（最终保险金额以</w:t>
            </w:r>
            <w:r>
              <w:rPr>
                <w:rFonts w:hint="eastAsia" w:ascii="宋体" w:hAnsi="宋体" w:cs="宋体"/>
                <w:b/>
                <w:szCs w:val="21"/>
                <w:lang w:val="en-US" w:eastAsia="zh-CN"/>
              </w:rPr>
              <w:t>7</w:t>
            </w:r>
            <w:r>
              <w:rPr>
                <w:rFonts w:hint="eastAsia" w:ascii="宋体" w:hAnsi="宋体" w:cs="宋体"/>
                <w:b/>
                <w:szCs w:val="21"/>
              </w:rPr>
              <w:t>月的期末数为准）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rPr>
            </w:pPr>
            <w:r>
              <w:rPr>
                <w:rFonts w:hint="eastAsia" w:ascii="宋体" w:hAnsi="宋体" w:cs="宋体"/>
                <w:b/>
                <w:bCs/>
                <w:szCs w:val="21"/>
              </w:rPr>
              <w:t>机器设备</w:t>
            </w:r>
          </w:p>
        </w:tc>
        <w:tc>
          <w:tcPr>
            <w:tcW w:w="5323" w:type="dxa"/>
          </w:tcPr>
          <w:p>
            <w:pPr>
              <w:spacing w:line="360" w:lineRule="auto"/>
              <w:rPr>
                <w:rFonts w:ascii="宋体" w:hAnsi="宋体" w:cs="宋体"/>
                <w:szCs w:val="21"/>
              </w:rPr>
            </w:pPr>
            <w:r>
              <w:rPr>
                <w:rFonts w:hint="eastAsia" w:ascii="宋体" w:hAnsi="宋体" w:cs="宋体"/>
                <w:szCs w:val="21"/>
              </w:rPr>
              <w:t>RMB</w:t>
            </w:r>
            <w:r>
              <w:rPr>
                <w:rFonts w:hint="eastAsia" w:ascii="宋体" w:hAnsi="宋体" w:cs="宋体"/>
                <w:szCs w:val="21"/>
                <w:lang w:val="en-US" w:eastAsia="zh-CN"/>
              </w:rPr>
              <w:t>403,038,188.08</w:t>
            </w:r>
            <w:r>
              <w:rPr>
                <w:rFonts w:hint="eastAsia" w:ascii="宋体" w:hAnsi="宋体" w:cs="宋体"/>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总保险金额</w:t>
            </w:r>
          </w:p>
        </w:tc>
        <w:tc>
          <w:tcPr>
            <w:tcW w:w="5323" w:type="dxa"/>
          </w:tcPr>
          <w:p>
            <w:pPr>
              <w:spacing w:line="360" w:lineRule="auto"/>
              <w:rPr>
                <w:rFonts w:ascii="宋体" w:hAnsi="宋体" w:cs="宋体"/>
                <w:b/>
                <w:bCs/>
                <w:szCs w:val="21"/>
              </w:rPr>
            </w:pPr>
            <w:r>
              <w:rPr>
                <w:rFonts w:hint="eastAsia" w:ascii="宋体" w:hAnsi="宋体" w:cs="宋体"/>
                <w:b/>
                <w:bCs/>
                <w:szCs w:val="21"/>
              </w:rPr>
              <w:t>RMB</w:t>
            </w:r>
            <w:r>
              <w:rPr>
                <w:rFonts w:hint="eastAsia" w:ascii="宋体" w:hAnsi="宋体" w:cs="宋体"/>
                <w:b/>
                <w:bCs/>
                <w:szCs w:val="21"/>
                <w:lang w:val="en-US" w:eastAsia="zh-CN"/>
              </w:rPr>
              <w:t>403,038,188.08</w:t>
            </w:r>
            <w:r>
              <w:rPr>
                <w:rFonts w:hint="eastAsia" w:ascii="宋体" w:hAnsi="宋体" w:cs="宋体"/>
                <w:b/>
                <w:bCs/>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七、</w:t>
            </w:r>
            <w:r>
              <w:rPr>
                <w:rFonts w:hint="eastAsia" w:ascii="宋体" w:hAnsi="宋体" w:cs="宋体"/>
                <w:b/>
                <w:szCs w:val="21"/>
              </w:rPr>
              <w:t>免赔额或免赔率：</w:t>
            </w:r>
          </w:p>
        </w:tc>
        <w:tc>
          <w:tcPr>
            <w:tcW w:w="5323" w:type="dxa"/>
          </w:tcPr>
          <w:p>
            <w:pPr>
              <w:spacing w:line="360" w:lineRule="auto"/>
              <w:rPr>
                <w:rFonts w:ascii="宋体" w:hAnsi="宋体" w:cs="宋体"/>
                <w:szCs w:val="21"/>
              </w:rPr>
            </w:pPr>
            <w:r>
              <w:rPr>
                <w:rFonts w:hint="eastAsia" w:ascii="宋体" w:hAnsi="宋体" w:cs="宋体"/>
                <w:szCs w:val="21"/>
              </w:rPr>
              <w:t>每次事故绝对免赔额为1000元或损失金额的10%，两者以高者为准。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八、保险期限：</w:t>
            </w:r>
          </w:p>
        </w:tc>
        <w:tc>
          <w:tcPr>
            <w:tcW w:w="5323" w:type="dxa"/>
          </w:tcPr>
          <w:p>
            <w:pPr>
              <w:spacing w:line="360" w:lineRule="auto"/>
              <w:rPr>
                <w:rFonts w:ascii="宋体" w:hAnsi="宋体" w:cs="宋体"/>
                <w:szCs w:val="21"/>
              </w:rPr>
            </w:pPr>
            <w:r>
              <w:rPr>
                <w:rFonts w:hint="eastAsia" w:ascii="宋体" w:hAnsi="宋体" w:cs="宋体"/>
                <w:szCs w:val="21"/>
              </w:rPr>
              <w:t>共12个月，自202</w:t>
            </w:r>
            <w:r>
              <w:rPr>
                <w:rFonts w:hint="eastAsia" w:ascii="宋体" w:hAnsi="宋体" w:cs="宋体"/>
                <w:szCs w:val="21"/>
                <w:lang w:val="en-US" w:eastAsia="zh-CN"/>
              </w:rPr>
              <w:t>3</w:t>
            </w:r>
            <w:r>
              <w:rPr>
                <w:rFonts w:hint="eastAsia" w:ascii="宋体" w:hAnsi="宋体" w:cs="宋体"/>
                <w:szCs w:val="21"/>
              </w:rPr>
              <w:t>年0</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01</w:t>
            </w:r>
            <w:r>
              <w:rPr>
                <w:rFonts w:hint="eastAsia" w:ascii="宋体" w:hAnsi="宋体" w:cs="宋体"/>
                <w:szCs w:val="21"/>
              </w:rPr>
              <w:t>日零时起至202</w:t>
            </w:r>
            <w:r>
              <w:rPr>
                <w:rFonts w:hint="eastAsia" w:ascii="宋体" w:hAnsi="宋体" w:cs="宋体"/>
                <w:szCs w:val="21"/>
                <w:lang w:val="en-US" w:eastAsia="zh-CN"/>
              </w:rPr>
              <w:t>4</w:t>
            </w:r>
            <w:r>
              <w:rPr>
                <w:rFonts w:hint="eastAsia" w:ascii="宋体" w:hAnsi="宋体" w:cs="宋体"/>
                <w:szCs w:val="21"/>
              </w:rPr>
              <w:t>年0</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31</w:t>
            </w:r>
            <w:r>
              <w:rPr>
                <w:rFonts w:hint="eastAsia" w:ascii="宋体" w:hAnsi="宋体" w:cs="宋体"/>
                <w:szCs w:val="21"/>
              </w:rPr>
              <w:t>日二十四时止。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九、保险费率：</w:t>
            </w:r>
          </w:p>
        </w:tc>
        <w:tc>
          <w:tcPr>
            <w:tcW w:w="5323" w:type="dxa"/>
          </w:tcPr>
          <w:p>
            <w:pPr>
              <w:spacing w:line="360" w:lineRule="auto"/>
              <w:rPr>
                <w:rFonts w:ascii="宋体" w:hAnsi="宋体" w:cs="宋体"/>
                <w:color w:val="000000"/>
                <w:szCs w:val="21"/>
              </w:rPr>
            </w:pPr>
            <w:r>
              <w:rPr>
                <w:rFonts w:hint="eastAsia" w:ascii="宋体" w:hAnsi="宋体" w:cs="宋体"/>
                <w:color w:val="000000"/>
                <w:szCs w:val="21"/>
              </w:rPr>
              <w:t>待保险公司报价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十、保险费：</w:t>
            </w:r>
          </w:p>
        </w:tc>
        <w:tc>
          <w:tcPr>
            <w:tcW w:w="5323" w:type="dxa"/>
          </w:tcPr>
          <w:p>
            <w:pPr>
              <w:spacing w:line="360" w:lineRule="auto"/>
              <w:rPr>
                <w:rFonts w:ascii="宋体" w:hAnsi="宋体" w:cs="宋体"/>
                <w:color w:val="000000"/>
                <w:szCs w:val="21"/>
              </w:rPr>
            </w:pPr>
            <w:r>
              <w:rPr>
                <w:rFonts w:hint="eastAsia" w:ascii="宋体" w:hAnsi="宋体" w:cs="宋体"/>
                <w:color w:val="000000"/>
                <w:szCs w:val="21"/>
              </w:rPr>
              <w:t>待保险公司报价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十一、付费日期：</w:t>
            </w:r>
          </w:p>
        </w:tc>
        <w:tc>
          <w:tcPr>
            <w:tcW w:w="5323" w:type="dxa"/>
          </w:tcPr>
          <w:p>
            <w:pPr>
              <w:spacing w:line="360" w:lineRule="auto"/>
              <w:rPr>
                <w:rFonts w:ascii="宋体" w:hAnsi="宋体" w:cs="宋体"/>
                <w:szCs w:val="21"/>
              </w:rPr>
            </w:pPr>
            <w:r>
              <w:rPr>
                <w:rFonts w:hint="eastAsia" w:ascii="宋体" w:hAnsi="宋体" w:cs="宋体"/>
                <w:kern w:val="0"/>
                <w:szCs w:val="21"/>
              </w:rPr>
              <w:t>投保人于保单生效后三十日内向保险公司指定帐户支付保费，保费款项自投保人账户划出即视为保费支付的履行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十二、司法管辖：</w:t>
            </w:r>
          </w:p>
        </w:tc>
        <w:tc>
          <w:tcPr>
            <w:tcW w:w="5323" w:type="dxa"/>
          </w:tcPr>
          <w:p>
            <w:pPr>
              <w:spacing w:line="360" w:lineRule="auto"/>
              <w:rPr>
                <w:rFonts w:ascii="宋体" w:hAnsi="宋体" w:cs="宋体"/>
                <w:szCs w:val="21"/>
              </w:rPr>
            </w:pPr>
            <w:r>
              <w:rPr>
                <w:rFonts w:hint="eastAsia" w:ascii="宋体" w:hAnsi="宋体" w:cs="宋体"/>
                <w:szCs w:val="21"/>
              </w:rPr>
              <w:t>中华人民共和国司法管辖（不包含港澳台地区）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十三、基本条款：</w:t>
            </w:r>
          </w:p>
        </w:tc>
        <w:tc>
          <w:tcPr>
            <w:tcW w:w="5323" w:type="dxa"/>
          </w:tcPr>
          <w:p>
            <w:pPr>
              <w:spacing w:line="360" w:lineRule="auto"/>
              <w:rPr>
                <w:rFonts w:ascii="宋体" w:hAnsi="宋体" w:cs="宋体"/>
                <w:szCs w:val="21"/>
              </w:rPr>
            </w:pPr>
            <w:r>
              <w:rPr>
                <w:rFonts w:hint="eastAsia" w:ascii="宋体" w:hAnsi="宋体" w:cs="宋体"/>
                <w:szCs w:val="21"/>
              </w:rPr>
              <w:t>机器损坏险条款（2009版）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3" w:type="dxa"/>
          <w:trHeight w:val="468" w:hRule="atLeast"/>
        </w:trPr>
        <w:tc>
          <w:tcPr>
            <w:tcW w:w="3274" w:type="dxa"/>
            <w:vMerge w:val="restart"/>
          </w:tcPr>
          <w:p>
            <w:pPr>
              <w:spacing w:line="360" w:lineRule="auto"/>
              <w:rPr>
                <w:rFonts w:ascii="宋体" w:hAnsi="宋体" w:cs="宋体"/>
                <w:b/>
                <w:bCs/>
                <w:szCs w:val="21"/>
              </w:rPr>
            </w:pPr>
            <w:r>
              <w:rPr>
                <w:rFonts w:hint="eastAsia" w:ascii="宋体" w:hAnsi="宋体" w:cs="宋体"/>
                <w:b/>
                <w:bCs/>
                <w:szCs w:val="21"/>
              </w:rPr>
              <w:t>十四、附加条款：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1、传送带、链条扩展条款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2、清理残骸费用条款（限额：保险金额的10%）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3、特别费用条款（限额：保险金额的10%）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4、空运费扩展条款（限额：保险金额的10%）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5、专业费用条款（限额：保险金额的10%）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6、索赔费用条款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7、重新安装费用条款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8、临时保护措施扩展条款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9、错误和遗漏条款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10、不使失效条款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11、不受控制条款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12、放弃代位追偿权条款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13、保单注销条款（90天）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14、重置价值条款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15、预付赔款条款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16、共保条款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17、指定公估人条款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18、成对或成套设备条款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19、自动恢复保险金额条款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20、紧急抢险条款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21、资产增加条款（限额：保险金额的10%）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22、自动承保条款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23、试车条款/调试条款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24、检修扩展条款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3" w:type="dxa"/>
          <w:trHeight w:val="468" w:hRule="atLeast"/>
        </w:trPr>
        <w:tc>
          <w:tcPr>
            <w:tcW w:w="3274" w:type="dxa"/>
            <w:vMerge w:val="restart"/>
          </w:tcPr>
          <w:p>
            <w:pPr>
              <w:spacing w:line="360" w:lineRule="auto"/>
              <w:rPr>
                <w:rFonts w:ascii="宋体" w:hAnsi="宋体" w:cs="宋体"/>
                <w:b/>
                <w:bCs/>
                <w:szCs w:val="21"/>
              </w:rPr>
            </w:pPr>
            <w:r>
              <w:rPr>
                <w:rFonts w:hint="eastAsia" w:ascii="宋体" w:hAnsi="宋体" w:cs="宋体"/>
                <w:b/>
                <w:bCs/>
                <w:szCs w:val="21"/>
              </w:rPr>
              <w:t>十五、特别约定：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trPr>
        <w:tc>
          <w:tcPr>
            <w:tcW w:w="3274" w:type="dxa"/>
            <w:vMerge w:val="continue"/>
          </w:tcPr>
          <w:p>
            <w:pPr>
              <w:spacing w:line="360" w:lineRule="auto"/>
              <w:rPr>
                <w:rFonts w:ascii="宋体" w:hAnsi="宋体" w:cs="宋体"/>
                <w:b/>
                <w:bCs/>
                <w:szCs w:val="21"/>
              </w:rPr>
            </w:pPr>
          </w:p>
        </w:tc>
        <w:tc>
          <w:tcPr>
            <w:tcW w:w="5323" w:type="dxa"/>
          </w:tcPr>
          <w:p>
            <w:pPr>
              <w:snapToGrid w:val="0"/>
              <w:spacing w:line="360" w:lineRule="auto"/>
              <w:rPr>
                <w:rFonts w:ascii="宋体" w:hAnsi="宋体" w:cs="宋体"/>
                <w:szCs w:val="21"/>
              </w:rPr>
            </w:pPr>
            <w:r>
              <w:rPr>
                <w:rFonts w:hint="eastAsia" w:ascii="宋体" w:hAnsi="宋体" w:cs="宋体"/>
                <w:szCs w:val="21"/>
              </w:rPr>
              <w:t>1、兹经双方同意并约定，本保单中保险标的的保险金额按照投保时的帐面原值确定，保险公司视为按照重置价值足额投保，出险后不进行比例赔偿。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vMerge w:val="continue"/>
          </w:tcPr>
          <w:p>
            <w:pPr>
              <w:spacing w:line="360" w:lineRule="auto"/>
              <w:rPr>
                <w:rFonts w:ascii="宋体" w:hAnsi="宋体" w:cs="宋体"/>
                <w:szCs w:val="21"/>
              </w:rPr>
            </w:pPr>
          </w:p>
        </w:tc>
        <w:tc>
          <w:tcPr>
            <w:tcW w:w="5323" w:type="dxa"/>
          </w:tcPr>
          <w:p>
            <w:pPr>
              <w:spacing w:line="360" w:lineRule="auto"/>
              <w:rPr>
                <w:rFonts w:ascii="宋体" w:hAnsi="宋体" w:cs="宋体"/>
                <w:szCs w:val="21"/>
              </w:rPr>
            </w:pPr>
            <w:r>
              <w:rPr>
                <w:rFonts w:hint="eastAsia" w:ascii="宋体" w:hAnsi="宋体" w:cs="宋体"/>
                <w:szCs w:val="21"/>
              </w:rPr>
              <w:t>2、兹经双方同意，本保单扩展承保“根据法律或契约应由供货方、制造人、安装人或修理人负责的损失或费用”，但被保险人应保留向责任方索赔的权利，在获得保险赔款后将向责任方追偿的权利转让给保险人，并给予必要的协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vMerge w:val="continue"/>
          </w:tcPr>
          <w:p>
            <w:pPr>
              <w:spacing w:line="360" w:lineRule="auto"/>
              <w:rPr>
                <w:rFonts w:ascii="宋体" w:hAnsi="宋体" w:cs="宋体"/>
                <w:szCs w:val="21"/>
              </w:rPr>
            </w:pPr>
          </w:p>
        </w:tc>
        <w:tc>
          <w:tcPr>
            <w:tcW w:w="5323" w:type="dxa"/>
          </w:tcPr>
          <w:p>
            <w:pPr>
              <w:spacing w:line="360" w:lineRule="auto"/>
              <w:rPr>
                <w:rFonts w:ascii="宋体" w:hAnsi="宋体" w:cs="宋体"/>
                <w:szCs w:val="21"/>
              </w:rPr>
            </w:pPr>
            <w:r>
              <w:rPr>
                <w:rFonts w:hint="eastAsia" w:ascii="宋体" w:hAnsi="宋体" w:cs="宋体"/>
                <w:szCs w:val="21"/>
              </w:rPr>
              <w:t>3、兹经双方同意，本保单同意扩展下列机器及附属设备：</w:t>
            </w:r>
          </w:p>
          <w:p>
            <w:pPr>
              <w:spacing w:line="360" w:lineRule="auto"/>
              <w:rPr>
                <w:rFonts w:ascii="宋体" w:hAnsi="宋体" w:cs="宋体"/>
                <w:szCs w:val="21"/>
              </w:rPr>
            </w:pPr>
            <w:r>
              <w:rPr>
                <w:rFonts w:hint="eastAsia" w:ascii="宋体" w:hAnsi="宋体" w:cs="宋体"/>
                <w:szCs w:val="21"/>
              </w:rPr>
              <w:t>（1）原型机；</w:t>
            </w:r>
          </w:p>
          <w:p>
            <w:pPr>
              <w:spacing w:line="360" w:lineRule="auto"/>
              <w:rPr>
                <w:rFonts w:ascii="宋体" w:hAnsi="宋体" w:cs="宋体"/>
                <w:szCs w:val="21"/>
              </w:rPr>
            </w:pPr>
            <w:r>
              <w:rPr>
                <w:rFonts w:hint="eastAsia" w:ascii="宋体" w:hAnsi="宋体" w:cs="宋体"/>
                <w:szCs w:val="21"/>
              </w:rPr>
              <w:t>（2）使用年限达到10年以上（含）的机器及附属设备；</w:t>
            </w:r>
          </w:p>
          <w:p>
            <w:pPr>
              <w:spacing w:line="360" w:lineRule="auto"/>
              <w:rPr>
                <w:rFonts w:ascii="宋体" w:hAnsi="宋体" w:cs="宋体"/>
                <w:szCs w:val="21"/>
              </w:rPr>
            </w:pPr>
            <w:r>
              <w:rPr>
                <w:rFonts w:hint="eastAsia" w:ascii="宋体" w:hAnsi="宋体" w:cs="宋体"/>
                <w:szCs w:val="21"/>
              </w:rPr>
              <w:t>（3）账面净值低于账面原值的10%的机器及附属设备。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vMerge w:val="continue"/>
          </w:tcPr>
          <w:p>
            <w:pPr>
              <w:spacing w:line="360" w:lineRule="auto"/>
              <w:rPr>
                <w:rFonts w:ascii="宋体" w:hAnsi="宋体" w:cs="宋体"/>
                <w:szCs w:val="21"/>
              </w:rPr>
            </w:pPr>
          </w:p>
        </w:tc>
        <w:tc>
          <w:tcPr>
            <w:tcW w:w="5323" w:type="dxa"/>
          </w:tcPr>
          <w:p>
            <w:pPr>
              <w:spacing w:line="360" w:lineRule="auto"/>
              <w:rPr>
                <w:rFonts w:ascii="宋体" w:hAnsi="宋体" w:cs="宋体"/>
                <w:bCs/>
                <w:szCs w:val="21"/>
              </w:rPr>
            </w:pPr>
            <w:r>
              <w:rPr>
                <w:rFonts w:hint="eastAsia" w:ascii="宋体" w:hAnsi="宋体" w:cs="宋体"/>
                <w:bCs/>
                <w:szCs w:val="21"/>
              </w:rPr>
              <w:t>4、兹经双方同意，如发生保险事故，本保单对由于租赁关系而对受损的保险财产拥有可保利益的其他关系方根据租约在其可保利益范围内进行赔偿。但如该保险财产已由其他关系方另行投保，则本保单不负赔偿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十六、争议处理</w:t>
            </w:r>
          </w:p>
        </w:tc>
        <w:tc>
          <w:tcPr>
            <w:tcW w:w="5323" w:type="dxa"/>
          </w:tcPr>
          <w:p>
            <w:pPr>
              <w:spacing w:line="360" w:lineRule="auto"/>
              <w:rPr>
                <w:rFonts w:ascii="宋体" w:hAnsi="宋体" w:cs="宋体"/>
                <w:szCs w:val="21"/>
              </w:rPr>
            </w:pPr>
            <w:r>
              <w:rPr>
                <w:rFonts w:hint="eastAsia" w:ascii="宋体" w:hAnsi="宋体" w:cs="宋体"/>
                <w:szCs w:val="21"/>
              </w:rPr>
              <w:t>保险双方就执行本保险合同发生的争议，应通过友好协商解决。如协商无效，可选择向当地仲裁委员会申请仲裁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十七、其他</w:t>
            </w:r>
          </w:p>
        </w:tc>
        <w:tc>
          <w:tcPr>
            <w:tcW w:w="5323" w:type="dxa"/>
          </w:tcPr>
          <w:p>
            <w:pPr>
              <w:spacing w:line="360" w:lineRule="auto"/>
              <w:rPr>
                <w:rFonts w:ascii="宋体" w:hAnsi="宋体" w:cs="宋体"/>
                <w:szCs w:val="21"/>
              </w:rPr>
            </w:pPr>
            <w:r>
              <w:rPr>
                <w:rFonts w:hint="eastAsia" w:ascii="宋体" w:hAnsi="宋体" w:cs="宋体"/>
                <w:szCs w:val="21"/>
              </w:rPr>
              <w:t>本保险单中，特别约定的效力高于附加条款，附加条款的效力高于基本条款</w:t>
            </w:r>
          </w:p>
        </w:tc>
      </w:tr>
    </w:tbl>
    <w:p>
      <w:pPr>
        <w:rPr>
          <w:rFonts w:ascii="宋体" w:hAnsi="宋体" w:cs="宋体"/>
        </w:rPr>
      </w:pPr>
    </w:p>
    <w:p>
      <w:pPr>
        <w:rPr>
          <w:rFonts w:ascii="宋体" w:hAnsi="宋体" w:cs="宋体"/>
          <w:b/>
          <w:sz w:val="24"/>
          <w:szCs w:val="24"/>
        </w:rPr>
      </w:pPr>
    </w:p>
    <w:p>
      <w:pPr>
        <w:rPr>
          <w:rFonts w:ascii="宋体" w:hAnsi="宋体" w:cs="宋体"/>
          <w:b/>
          <w:sz w:val="24"/>
          <w:szCs w:val="24"/>
        </w:rPr>
      </w:pPr>
    </w:p>
    <w:p>
      <w:pPr>
        <w:rPr>
          <w:rFonts w:ascii="宋体" w:hAnsi="宋体" w:cs="宋体"/>
          <w:b/>
          <w:sz w:val="24"/>
          <w:szCs w:val="24"/>
        </w:rPr>
        <w:sectPr>
          <w:footerReference r:id="rId11" w:type="default"/>
          <w:pgSz w:w="11906" w:h="16838"/>
          <w:pgMar w:top="1440" w:right="1800" w:bottom="1440" w:left="1800" w:header="851" w:footer="992" w:gutter="0"/>
          <w:cols w:space="720" w:num="1"/>
          <w:docGrid w:type="lines" w:linePitch="312" w:charSpace="0"/>
        </w:sectPr>
      </w:pPr>
    </w:p>
    <w:p>
      <w:pPr>
        <w:rPr>
          <w:rFonts w:ascii="宋体" w:hAnsi="宋体" w:cs="宋体"/>
          <w:b/>
          <w:sz w:val="24"/>
          <w:szCs w:val="24"/>
        </w:rPr>
      </w:pPr>
      <w:r>
        <w:rPr>
          <w:rFonts w:hint="eastAsia" w:ascii="宋体" w:hAnsi="宋体" w:cs="宋体"/>
          <w:b/>
          <w:sz w:val="24"/>
          <w:szCs w:val="24"/>
        </w:rPr>
        <w:t>（二）保险条款</w:t>
      </w:r>
    </w:p>
    <w:p>
      <w:pPr>
        <w:rPr>
          <w:rFonts w:ascii="宋体" w:hAnsi="宋体" w:cs="宋体"/>
        </w:rPr>
      </w:pPr>
    </w:p>
    <w:p>
      <w:pPr>
        <w:rPr>
          <w:rFonts w:ascii="宋体" w:hAnsi="宋体" w:cs="宋体"/>
        </w:rPr>
      </w:pPr>
    </w:p>
    <w:p>
      <w:pPr>
        <w:pStyle w:val="5"/>
        <w:spacing w:before="0" w:after="120" w:afterLines="50" w:line="240" w:lineRule="auto"/>
        <w:jc w:val="center"/>
        <w:rPr>
          <w:rFonts w:ascii="宋体" w:hAnsi="宋体" w:eastAsia="宋体" w:cs="宋体"/>
          <w:sz w:val="28"/>
          <w:szCs w:val="28"/>
        </w:rPr>
      </w:pPr>
      <w:r>
        <w:rPr>
          <w:rFonts w:hint="eastAsia" w:ascii="宋体" w:hAnsi="宋体" w:eastAsia="宋体" w:cs="宋体"/>
          <w:sz w:val="28"/>
          <w:szCs w:val="28"/>
        </w:rPr>
        <w:t>机器损坏保险条款（2009版）</w:t>
      </w:r>
    </w:p>
    <w:p>
      <w:pPr>
        <w:pStyle w:val="2"/>
        <w:spacing w:afterLines="50"/>
        <w:ind w:firstLine="480"/>
        <w:rPr>
          <w:rFonts w:ascii="宋体" w:hAnsi="宋体" w:cs="宋体"/>
          <w:b/>
          <w:szCs w:val="21"/>
        </w:rPr>
      </w:pPr>
    </w:p>
    <w:p>
      <w:pPr>
        <w:spacing w:after="120" w:afterLines="50"/>
        <w:jc w:val="center"/>
        <w:rPr>
          <w:rFonts w:ascii="宋体" w:hAnsi="宋体" w:cs="宋体"/>
          <w:b/>
          <w:bCs/>
          <w:szCs w:val="21"/>
        </w:rPr>
      </w:pPr>
      <w:r>
        <w:rPr>
          <w:rFonts w:hint="eastAsia" w:ascii="宋体" w:hAnsi="宋体" w:cs="宋体"/>
          <w:b/>
          <w:bCs/>
          <w:szCs w:val="21"/>
        </w:rPr>
        <w:t>总则</w:t>
      </w:r>
    </w:p>
    <w:p>
      <w:pPr>
        <w:spacing w:after="120" w:afterLines="50"/>
        <w:ind w:firstLine="420" w:firstLineChars="199"/>
        <w:rPr>
          <w:rFonts w:ascii="宋体" w:hAnsi="宋体" w:cs="宋体"/>
          <w:szCs w:val="21"/>
        </w:rPr>
      </w:pPr>
      <w:r>
        <w:rPr>
          <w:rFonts w:hint="eastAsia" w:ascii="宋体" w:hAnsi="宋体" w:cs="宋体"/>
          <w:b/>
          <w:szCs w:val="21"/>
        </w:rPr>
        <w:t>第一条</w:t>
      </w:r>
      <w:r>
        <w:rPr>
          <w:rFonts w:hint="eastAsia" w:ascii="宋体" w:hAnsi="宋体" w:cs="宋体"/>
          <w:szCs w:val="21"/>
        </w:rPr>
        <w:t xml:space="preserve">  本保险合同由保险条款、投保单、保险单或其他保险凭证以及批单组成。凡涉及本保险合同的约定，均应采用书面形式。</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保险标的</w:t>
      </w:r>
    </w:p>
    <w:p>
      <w:pPr>
        <w:spacing w:after="120" w:afterLines="50"/>
        <w:ind w:firstLine="413" w:firstLineChars="196"/>
        <w:jc w:val="left"/>
        <w:rPr>
          <w:rFonts w:ascii="宋体" w:hAnsi="宋体" w:cs="宋体"/>
          <w:szCs w:val="21"/>
        </w:rPr>
      </w:pPr>
      <w:r>
        <w:rPr>
          <w:rFonts w:hint="eastAsia" w:ascii="宋体" w:hAnsi="宋体" w:cs="宋体"/>
          <w:b/>
          <w:szCs w:val="21"/>
        </w:rPr>
        <w:t>第二条</w:t>
      </w:r>
      <w:r>
        <w:rPr>
          <w:rFonts w:hint="eastAsia" w:ascii="宋体" w:hAnsi="宋体" w:cs="宋体"/>
          <w:szCs w:val="21"/>
        </w:rPr>
        <w:t xml:space="preserve">  本保险合同载明的机器及附属设备，均可作为保险标的。</w:t>
      </w:r>
    </w:p>
    <w:p>
      <w:pPr>
        <w:spacing w:after="120" w:afterLines="50"/>
        <w:ind w:firstLine="444"/>
        <w:rPr>
          <w:rFonts w:ascii="宋体" w:hAnsi="宋体" w:cs="宋体"/>
          <w:i/>
          <w:iCs/>
          <w:szCs w:val="21"/>
        </w:rPr>
      </w:pPr>
    </w:p>
    <w:p>
      <w:pPr>
        <w:spacing w:after="120" w:afterLines="50"/>
        <w:jc w:val="center"/>
        <w:rPr>
          <w:rFonts w:ascii="宋体" w:hAnsi="宋体" w:cs="宋体"/>
          <w:b/>
          <w:bCs/>
          <w:szCs w:val="21"/>
        </w:rPr>
      </w:pPr>
      <w:r>
        <w:rPr>
          <w:rFonts w:hint="eastAsia" w:ascii="宋体" w:hAnsi="宋体" w:cs="宋体"/>
          <w:b/>
          <w:bCs/>
          <w:szCs w:val="21"/>
        </w:rPr>
        <w:t>保险责任</w:t>
      </w:r>
    </w:p>
    <w:p>
      <w:pPr>
        <w:autoSpaceDE w:val="0"/>
        <w:autoSpaceDN w:val="0"/>
        <w:adjustRightInd w:val="0"/>
        <w:snapToGrid w:val="0"/>
        <w:spacing w:after="120" w:afterLines="50"/>
        <w:ind w:firstLine="413" w:firstLineChars="196"/>
        <w:rPr>
          <w:rFonts w:ascii="宋体" w:hAnsi="宋体" w:cs="宋体"/>
          <w:szCs w:val="21"/>
        </w:rPr>
      </w:pPr>
      <w:r>
        <w:rPr>
          <w:rFonts w:hint="eastAsia" w:ascii="宋体" w:hAnsi="宋体" w:cs="宋体"/>
          <w:b/>
          <w:szCs w:val="21"/>
        </w:rPr>
        <w:t>第三条</w:t>
      </w:r>
      <w:r>
        <w:rPr>
          <w:rFonts w:hint="eastAsia" w:ascii="宋体" w:hAnsi="宋体" w:cs="宋体"/>
          <w:szCs w:val="21"/>
        </w:rPr>
        <w:t xml:space="preserve">  在保险期间内，因下列原因引起或构成突然的、不可预料的意外事故造成的物质损坏或灭失(以下简称“损失”)，保险人按照本保险合同的约定负责赔偿：</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(一) 设计、制造或安装错误、铸造和原材料缺陷；</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(二) 工人、技术人员操作错误、缺乏经验、技术不善、疏忽、过失、恶意行为；</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(三) 离心力引起的断裂；</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(四) 超负荷、超电压、碰线、电弧、漏电、短路、大气放电、感应电及其他电气原因；</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（五）除本条款中“责任免除”规定以外的其他原因。</w:t>
      </w:r>
    </w:p>
    <w:p>
      <w:pPr>
        <w:autoSpaceDE w:val="0"/>
        <w:autoSpaceDN w:val="0"/>
        <w:adjustRightInd w:val="0"/>
        <w:snapToGrid w:val="0"/>
        <w:spacing w:after="120" w:afterLines="50"/>
        <w:ind w:firstLine="422" w:firstLineChars="200"/>
        <w:rPr>
          <w:rFonts w:ascii="宋体" w:hAnsi="宋体" w:cs="宋体"/>
          <w:szCs w:val="21"/>
        </w:rPr>
      </w:pPr>
      <w:r>
        <w:rPr>
          <w:rFonts w:hint="eastAsia" w:ascii="宋体" w:hAnsi="宋体" w:cs="宋体"/>
          <w:b/>
          <w:szCs w:val="21"/>
        </w:rPr>
        <w:t>第四条</w:t>
      </w:r>
      <w:r>
        <w:rPr>
          <w:rFonts w:hint="eastAsia" w:ascii="宋体" w:hAnsi="宋体" w:cs="宋体"/>
          <w:szCs w:val="21"/>
        </w:rPr>
        <w:t xml:space="preserve">  保险事故发生后，被保险人为防止或减少保险标的的损失所支付的必要的、合理的费用，保险人按照本保险合同的约定也负责赔偿。</w:t>
      </w:r>
    </w:p>
    <w:p>
      <w:pPr>
        <w:pStyle w:val="21"/>
        <w:spacing w:after="120" w:afterLines="50"/>
        <w:ind w:firstLine="630" w:firstLineChars="224"/>
        <w:rPr>
          <w:rFonts w:ascii="宋体" w:hAnsi="宋体" w:eastAsia="宋体" w:cs="宋体"/>
          <w:b/>
          <w:szCs w:val="21"/>
        </w:rPr>
      </w:pPr>
    </w:p>
    <w:p>
      <w:pPr>
        <w:spacing w:after="120" w:afterLines="50"/>
        <w:jc w:val="center"/>
        <w:rPr>
          <w:rFonts w:ascii="宋体" w:hAnsi="宋体" w:cs="宋体"/>
          <w:b/>
          <w:bCs/>
          <w:szCs w:val="21"/>
        </w:rPr>
      </w:pPr>
      <w:r>
        <w:rPr>
          <w:rFonts w:hint="eastAsia" w:ascii="宋体" w:hAnsi="宋体" w:cs="宋体"/>
          <w:b/>
          <w:bCs/>
          <w:szCs w:val="21"/>
        </w:rPr>
        <w:t>责任免除</w:t>
      </w:r>
    </w:p>
    <w:p>
      <w:pPr>
        <w:spacing w:after="120" w:afterLines="50"/>
        <w:ind w:firstLine="413" w:firstLineChars="196"/>
        <w:rPr>
          <w:rFonts w:ascii="宋体" w:hAnsi="宋体" w:cs="宋体"/>
          <w:b/>
          <w:szCs w:val="21"/>
        </w:rPr>
      </w:pPr>
      <w:r>
        <w:rPr>
          <w:rFonts w:hint="eastAsia" w:ascii="宋体" w:hAnsi="宋体" w:cs="宋体"/>
          <w:b/>
          <w:szCs w:val="21"/>
        </w:rPr>
        <w:t>第五条</w:t>
      </w:r>
      <w:r>
        <w:rPr>
          <w:rFonts w:hint="eastAsia" w:ascii="宋体" w:hAnsi="宋体" w:cs="宋体"/>
          <w:szCs w:val="21"/>
        </w:rPr>
        <w:t xml:space="preserve"> </w:t>
      </w:r>
      <w:r>
        <w:rPr>
          <w:rFonts w:hint="eastAsia" w:ascii="宋体" w:hAnsi="宋体" w:cs="宋体"/>
          <w:b/>
          <w:szCs w:val="21"/>
        </w:rPr>
        <w:t xml:space="preserve"> 下列原因造成的损失、费用，保险人不负责赔偿：</w:t>
      </w:r>
    </w:p>
    <w:p>
      <w:pPr>
        <w:spacing w:after="120" w:afterLines="50"/>
        <w:ind w:firstLine="413" w:firstLineChars="196"/>
        <w:rPr>
          <w:rFonts w:ascii="宋体" w:hAnsi="宋体" w:cs="宋体"/>
          <w:b/>
          <w:szCs w:val="21"/>
        </w:rPr>
      </w:pPr>
      <w:r>
        <w:rPr>
          <w:rFonts w:hint="eastAsia" w:ascii="宋体" w:hAnsi="宋体" w:cs="宋体"/>
          <w:b/>
          <w:szCs w:val="21"/>
        </w:rPr>
        <w:t>（一）被保险人及其代表的故意行为或重大过失；</w:t>
      </w:r>
    </w:p>
    <w:p>
      <w:pPr>
        <w:spacing w:after="120" w:afterLines="50"/>
        <w:ind w:firstLine="413" w:firstLineChars="196"/>
        <w:rPr>
          <w:rFonts w:ascii="宋体" w:hAnsi="宋体" w:cs="宋体"/>
          <w:b/>
          <w:szCs w:val="21"/>
        </w:rPr>
      </w:pPr>
      <w:r>
        <w:rPr>
          <w:rFonts w:hint="eastAsia" w:ascii="宋体" w:hAnsi="宋体" w:cs="宋体"/>
          <w:b/>
          <w:szCs w:val="21"/>
        </w:rPr>
        <w:t>（二）被保险人及其代表已经知道或应该知道的保险机器及其附属设备在本保险开始前已经存在的缺点或缺陷；</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（三）战争、类似战争行为、敌对行为、武装冲突、恐怖活动、谋反、政变、罢工、暴动、民众骚乱；</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（四）政府命令或任何公共当局没收、征用、销毁或毁坏；</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（五）核裂变、核聚变、核武器、核材料、核辐射及放射性污染；</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（六）机器设备运行必然引起的后果，如自然磨损、氧化、腐蚀、锈蚀、孔蚀、锅垢等物理性变化或化学反应；</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（七）由于公共设施部门的限制性供应及故意行为或非意外事故引起的停电、停气、停水；</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（八）火灾、爆炸；</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（九）地震、海啸及其次生灾害；</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（十）雷击、飓风、台风、龙卷风、暴风、暴雨、洪水、冰雹、地崩、山崩、雪崩、火山爆发、地面下陷下沉及其他自然灾害；</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（十一）飞机坠毁、飞机部件或飞机物体坠落；</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（十二）机动车碰撞；</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（十三）水箱、水管爆裂。</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第六条  下列损失、费用，保险人也不负责赔偿：</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（一）保险事故发生后引起的各种间接损失或费用；</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（二）各种传送带、缆绳、金属线、链条、轮胎、可调换或替代的钻头、钻杆、刀具、印刷滚筒、套筒、活动管道、玻璃、磁、陶及钢筛、网筛、毛毡制品、一切操作中的媒介物(如润滑油、燃料、催化剂等) 及其他各种易损、易耗品；</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（三）根据法律或契约应由供货方、制造人、安装人或修理人负责的损失或费用；</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（四）保险机器设备在修复或重置过程中发生的任何变更、性能增加或改进所产生的额外费用；</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（五） 本保险合同中载明的免赔额或按本保险合同中载明的免赔率计算的免赔额。</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保险金额与免赔额（率）</w:t>
      </w:r>
    </w:p>
    <w:p>
      <w:pPr>
        <w:autoSpaceDE w:val="0"/>
        <w:autoSpaceDN w:val="0"/>
        <w:adjustRightInd w:val="0"/>
        <w:snapToGrid w:val="0"/>
        <w:spacing w:after="120" w:afterLines="50"/>
        <w:rPr>
          <w:rFonts w:ascii="宋体" w:hAnsi="宋体" w:cs="宋体"/>
          <w:szCs w:val="21"/>
        </w:rPr>
      </w:pPr>
      <w:r>
        <w:rPr>
          <w:rFonts w:hint="eastAsia" w:ascii="宋体" w:hAnsi="宋体" w:cs="宋体"/>
          <w:b/>
          <w:szCs w:val="21"/>
        </w:rPr>
        <w:t xml:space="preserve">    第七条  </w:t>
      </w:r>
      <w:r>
        <w:rPr>
          <w:rFonts w:hint="eastAsia" w:ascii="宋体" w:hAnsi="宋体" w:cs="宋体"/>
          <w:szCs w:val="21"/>
        </w:rPr>
        <w:t>本保险合同承保的机器设备的保险金额，应为该机器设备的重置价值，即重新换置同一厂牌或相类似的型号、规格、性能的新机器设备的价格，包括出厂价格、运保费、税款、可能支付的关税以及安装费用等。</w:t>
      </w:r>
    </w:p>
    <w:p>
      <w:pPr>
        <w:spacing w:after="120" w:afterLines="50"/>
        <w:ind w:firstLine="413" w:firstLineChars="196"/>
        <w:rPr>
          <w:rFonts w:ascii="宋体" w:hAnsi="宋体" w:cs="宋体"/>
          <w:szCs w:val="21"/>
        </w:rPr>
      </w:pPr>
      <w:r>
        <w:rPr>
          <w:rFonts w:hint="eastAsia" w:ascii="宋体" w:hAnsi="宋体" w:cs="宋体"/>
          <w:b/>
          <w:szCs w:val="21"/>
        </w:rPr>
        <w:t>第八条</w:t>
      </w:r>
      <w:r>
        <w:rPr>
          <w:rFonts w:hint="eastAsia" w:ascii="宋体" w:hAnsi="宋体" w:cs="宋体"/>
          <w:szCs w:val="21"/>
        </w:rPr>
        <w:t xml:space="preserve">  免赔额（率）由投保人与保险人在订立保险合同时协商确定，并在保险合同中载明。</w:t>
      </w:r>
    </w:p>
    <w:p>
      <w:pPr>
        <w:spacing w:after="120" w:afterLines="50"/>
        <w:jc w:val="center"/>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保险期间</w:t>
      </w:r>
    </w:p>
    <w:p>
      <w:pPr>
        <w:spacing w:after="120" w:afterLines="50"/>
        <w:ind w:firstLine="420" w:firstLineChars="199"/>
        <w:rPr>
          <w:rFonts w:ascii="宋体" w:hAnsi="宋体" w:cs="宋体"/>
          <w:szCs w:val="21"/>
        </w:rPr>
      </w:pPr>
      <w:r>
        <w:rPr>
          <w:rFonts w:hint="eastAsia" w:ascii="宋体" w:hAnsi="宋体" w:cs="宋体"/>
          <w:b/>
          <w:szCs w:val="21"/>
        </w:rPr>
        <w:t xml:space="preserve">第九条  </w:t>
      </w:r>
      <w:r>
        <w:rPr>
          <w:rFonts w:hint="eastAsia" w:ascii="宋体" w:hAnsi="宋体" w:cs="宋体"/>
          <w:szCs w:val="21"/>
        </w:rPr>
        <w:t>除另有约定外，保险期间为一年，以保险单载明的起讫时间为准。</w:t>
      </w:r>
    </w:p>
    <w:p>
      <w:pPr>
        <w:spacing w:after="120" w:afterLines="50"/>
        <w:ind w:firstLine="480"/>
        <w:rPr>
          <w:rFonts w:ascii="宋体" w:hAnsi="宋体" w:cs="宋体"/>
          <w:b/>
          <w:szCs w:val="21"/>
        </w:rPr>
      </w:pPr>
    </w:p>
    <w:p>
      <w:pPr>
        <w:spacing w:after="120" w:afterLines="50"/>
        <w:jc w:val="center"/>
        <w:rPr>
          <w:rFonts w:ascii="宋体" w:hAnsi="宋体" w:cs="宋体"/>
          <w:b/>
          <w:bCs/>
          <w:szCs w:val="21"/>
        </w:rPr>
      </w:pPr>
      <w:r>
        <w:rPr>
          <w:rFonts w:hint="eastAsia" w:ascii="宋体" w:hAnsi="宋体" w:cs="宋体"/>
          <w:b/>
          <w:bCs/>
          <w:szCs w:val="21"/>
        </w:rPr>
        <w:t>保险人义务</w:t>
      </w:r>
    </w:p>
    <w:p>
      <w:pPr>
        <w:spacing w:after="120" w:afterLines="50"/>
        <w:ind w:firstLine="413" w:firstLineChars="196"/>
        <w:rPr>
          <w:rFonts w:ascii="宋体" w:hAnsi="宋体" w:cs="宋体"/>
          <w:szCs w:val="21"/>
        </w:rPr>
      </w:pPr>
      <w:r>
        <w:rPr>
          <w:rFonts w:hint="eastAsia" w:ascii="宋体" w:hAnsi="宋体" w:cs="宋体"/>
          <w:b/>
          <w:bCs/>
          <w:szCs w:val="21"/>
        </w:rPr>
        <w:t xml:space="preserve">第十条 </w:t>
      </w:r>
      <w:r>
        <w:rPr>
          <w:rFonts w:hint="eastAsia" w:ascii="宋体" w:hAnsi="宋体" w:cs="宋体"/>
          <w:szCs w:val="21"/>
        </w:rPr>
        <w:t xml:space="preserve"> </w:t>
      </w:r>
      <w:r>
        <w:rPr>
          <w:rStyle w:val="34"/>
          <w:rFonts w:hint="eastAsia" w:ascii="宋体" w:hAnsi="宋体" w:cs="宋体"/>
          <w:color w:val="000000"/>
          <w:szCs w:val="21"/>
        </w:rPr>
        <w:t>订立本保险合同时，</w:t>
      </w:r>
      <w:r>
        <w:rPr>
          <w:rStyle w:val="34"/>
          <w:rFonts w:hint="eastAsia" w:ascii="宋体" w:hAnsi="宋体" w:cs="宋体"/>
          <w:szCs w:val="21"/>
        </w:rPr>
        <w:t>保险人应向投保人说明本合同的条款内容。</w:t>
      </w:r>
      <w:r>
        <w:rPr>
          <w:rStyle w:val="34"/>
          <w:rFonts w:hint="eastAsia" w:ascii="宋体" w:hAnsi="宋体" w:cs="宋体"/>
          <w:color w:val="000000"/>
          <w:szCs w:val="21"/>
        </w:rPr>
        <w:t>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120" w:afterLines="50"/>
        <w:ind w:firstLine="413" w:firstLineChars="196"/>
        <w:rPr>
          <w:rFonts w:ascii="宋体" w:hAnsi="宋体" w:cs="宋体"/>
          <w:szCs w:val="21"/>
        </w:rPr>
      </w:pPr>
      <w:r>
        <w:rPr>
          <w:rFonts w:hint="eastAsia" w:ascii="宋体" w:hAnsi="宋体" w:cs="宋体"/>
          <w:b/>
          <w:bCs/>
          <w:szCs w:val="21"/>
        </w:rPr>
        <w:t xml:space="preserve">第十一条 </w:t>
      </w:r>
      <w:r>
        <w:rPr>
          <w:rFonts w:hint="eastAsia" w:ascii="宋体" w:hAnsi="宋体" w:cs="宋体"/>
          <w:szCs w:val="21"/>
        </w:rPr>
        <w:t xml:space="preserve"> 本保险合同成立后，保险人应当及时向投保人签发保险单或其他保险凭证。</w:t>
      </w:r>
    </w:p>
    <w:p>
      <w:pPr>
        <w:spacing w:after="120" w:afterLines="50"/>
        <w:ind w:firstLine="379" w:firstLineChars="180"/>
        <w:rPr>
          <w:rStyle w:val="34"/>
          <w:rFonts w:ascii="宋体" w:hAnsi="宋体" w:cs="宋体"/>
          <w:color w:val="000000"/>
          <w:szCs w:val="21"/>
        </w:rPr>
      </w:pPr>
      <w:r>
        <w:rPr>
          <w:rFonts w:hint="eastAsia" w:ascii="宋体" w:hAnsi="宋体" w:cs="宋体"/>
          <w:b/>
          <w:bCs/>
          <w:szCs w:val="21"/>
        </w:rPr>
        <w:t xml:space="preserve">第十二条 </w:t>
      </w:r>
      <w:r>
        <w:rPr>
          <w:rFonts w:hint="eastAsia" w:ascii="宋体" w:hAnsi="宋体" w:cs="宋体"/>
          <w:szCs w:val="21"/>
        </w:rPr>
        <w:t xml:space="preserve"> 保险人依据第十六条所取得的保险合同解除权，</w:t>
      </w:r>
      <w:r>
        <w:rPr>
          <w:rStyle w:val="34"/>
          <w:rFonts w:hint="eastAsia" w:ascii="宋体" w:hAnsi="宋体" w:cs="宋体"/>
          <w:color w:val="000000"/>
          <w:szCs w:val="21"/>
        </w:rPr>
        <w:t>自保险人知道有解除事由之日起，超过三十日不行使而消灭。自保险合同成立之日起超过二年的，保险人不得解除合同；发生保险事故的，保险人承担赔偿责任。</w:t>
      </w:r>
    </w:p>
    <w:p>
      <w:pPr>
        <w:spacing w:after="120" w:afterLines="50"/>
        <w:ind w:firstLine="420" w:firstLineChars="200"/>
        <w:rPr>
          <w:rStyle w:val="34"/>
          <w:rFonts w:ascii="宋体" w:hAnsi="宋体" w:cs="宋体"/>
          <w:color w:val="000000"/>
          <w:szCs w:val="21"/>
        </w:rPr>
      </w:pPr>
      <w:r>
        <w:rPr>
          <w:rStyle w:val="34"/>
          <w:rFonts w:hint="eastAsia" w:ascii="宋体" w:hAnsi="宋体" w:cs="宋体"/>
          <w:color w:val="000000"/>
          <w:szCs w:val="21"/>
        </w:rPr>
        <w:t>保险人在合同订立时已经知道投保人未如实告知的情况的，保险人不得解除合同；发生保险事故的，保险人应当承担赔偿责任。</w:t>
      </w:r>
    </w:p>
    <w:p>
      <w:pPr>
        <w:spacing w:after="120" w:afterLines="50"/>
        <w:ind w:firstLine="422" w:firstLineChars="200"/>
        <w:rPr>
          <w:rStyle w:val="34"/>
          <w:rFonts w:ascii="宋体" w:hAnsi="宋体" w:cs="宋体"/>
          <w:szCs w:val="21"/>
        </w:rPr>
      </w:pPr>
      <w:r>
        <w:rPr>
          <w:rFonts w:hint="eastAsia" w:ascii="宋体" w:hAnsi="宋体" w:cs="宋体"/>
          <w:b/>
          <w:bCs/>
          <w:szCs w:val="21"/>
        </w:rPr>
        <w:t xml:space="preserve">第十三条 </w:t>
      </w:r>
      <w:r>
        <w:rPr>
          <w:rFonts w:hint="eastAsia" w:ascii="宋体" w:hAnsi="宋体" w:cs="宋体"/>
          <w:szCs w:val="21"/>
        </w:rPr>
        <w:t xml:space="preserve"> </w:t>
      </w:r>
      <w:r>
        <w:rPr>
          <w:rStyle w:val="34"/>
          <w:rFonts w:hint="eastAsia" w:ascii="宋体" w:hAnsi="宋体" w:cs="宋体"/>
          <w:color w:val="000000"/>
          <w:szCs w:val="21"/>
        </w:rPr>
        <w:t>保险人按照第二十二条的约定，认为被保险人提供的有关索赔的证明和资料不完整的，应当及时一次性通知投保人、被保险人补充提供。</w:t>
      </w:r>
    </w:p>
    <w:p>
      <w:pPr>
        <w:adjustRightInd w:val="0"/>
        <w:snapToGrid w:val="0"/>
        <w:spacing w:after="120" w:afterLines="50"/>
        <w:ind w:firstLine="413" w:firstLineChars="196"/>
        <w:rPr>
          <w:rFonts w:ascii="宋体" w:hAnsi="宋体" w:cs="宋体"/>
          <w:szCs w:val="21"/>
        </w:rPr>
      </w:pPr>
      <w:r>
        <w:rPr>
          <w:rFonts w:hint="eastAsia" w:ascii="宋体" w:hAnsi="宋体" w:cs="宋体"/>
          <w:b/>
          <w:bCs/>
          <w:szCs w:val="21"/>
        </w:rPr>
        <w:t xml:space="preserve">第十四条 </w:t>
      </w:r>
      <w:r>
        <w:rPr>
          <w:rFonts w:hint="eastAsia" w:ascii="宋体" w:hAnsi="宋体" w:cs="宋体"/>
          <w:szCs w:val="21"/>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120" w:afterLines="50"/>
        <w:ind w:firstLine="411" w:firstLineChars="196"/>
        <w:rPr>
          <w:rStyle w:val="34"/>
          <w:rFonts w:ascii="宋体" w:hAnsi="宋体" w:cs="宋体"/>
          <w:color w:val="000000"/>
          <w:szCs w:val="21"/>
        </w:rPr>
      </w:pPr>
      <w:r>
        <w:rPr>
          <w:rFonts w:hint="eastAsia" w:ascii="宋体" w:hAnsi="宋体" w:cs="宋体"/>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Style w:val="34"/>
          <w:rFonts w:hint="eastAsia" w:ascii="宋体" w:hAnsi="宋体" w:cs="宋体"/>
          <w:szCs w:val="21"/>
        </w:rPr>
        <w:t>对不属于保险责任的，应当自作出核定之日起三日内向被保险人发出拒绝赔偿保险金通知书，并说明理由</w:t>
      </w:r>
      <w:r>
        <w:rPr>
          <w:rFonts w:hint="eastAsia" w:ascii="宋体" w:hAnsi="宋体" w:cs="宋体"/>
          <w:szCs w:val="21"/>
        </w:rPr>
        <w:t>。</w:t>
      </w:r>
    </w:p>
    <w:p>
      <w:pPr>
        <w:spacing w:after="120" w:afterLines="50"/>
        <w:ind w:firstLine="422" w:firstLineChars="200"/>
        <w:rPr>
          <w:rStyle w:val="35"/>
          <w:rFonts w:ascii="宋体" w:hAnsi="宋体" w:cs="宋体"/>
          <w:color w:val="000000"/>
          <w:szCs w:val="21"/>
        </w:rPr>
      </w:pPr>
      <w:r>
        <w:rPr>
          <w:rFonts w:hint="eastAsia" w:ascii="宋体" w:hAnsi="宋体" w:cs="宋体"/>
          <w:b/>
          <w:bCs/>
          <w:szCs w:val="21"/>
        </w:rPr>
        <w:t xml:space="preserve">第十五条 </w:t>
      </w:r>
      <w:r>
        <w:rPr>
          <w:rFonts w:hint="eastAsia" w:ascii="宋体" w:hAnsi="宋体" w:cs="宋体"/>
          <w:szCs w:val="21"/>
        </w:rPr>
        <w:t xml:space="preserve"> </w:t>
      </w:r>
      <w:r>
        <w:rPr>
          <w:rStyle w:val="34"/>
          <w:rFonts w:hint="eastAsia" w:ascii="宋体" w:hAnsi="宋体" w:cs="宋体"/>
          <w:color w:val="000000"/>
          <w:szCs w:val="21"/>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35"/>
          <w:rFonts w:hint="eastAsia" w:ascii="宋体" w:hAnsi="宋体" w:cs="宋体"/>
          <w:color w:val="000000"/>
          <w:szCs w:val="21"/>
        </w:rPr>
        <w:t> </w:t>
      </w:r>
    </w:p>
    <w:p>
      <w:pPr>
        <w:spacing w:after="120" w:afterLines="50"/>
        <w:ind w:firstLine="420" w:firstLineChars="200"/>
        <w:rPr>
          <w:rFonts w:ascii="宋体" w:hAnsi="宋体" w:cs="宋体"/>
          <w:i/>
          <w:iCs/>
          <w:szCs w:val="21"/>
        </w:rPr>
      </w:pPr>
    </w:p>
    <w:p>
      <w:pPr>
        <w:spacing w:after="120" w:afterLines="50"/>
        <w:jc w:val="center"/>
        <w:rPr>
          <w:rFonts w:ascii="宋体" w:hAnsi="宋体" w:cs="宋体"/>
          <w:b/>
          <w:bCs/>
          <w:szCs w:val="21"/>
        </w:rPr>
      </w:pPr>
      <w:r>
        <w:rPr>
          <w:rFonts w:hint="eastAsia" w:ascii="宋体" w:hAnsi="宋体" w:cs="宋体"/>
          <w:b/>
          <w:bCs/>
          <w:szCs w:val="21"/>
        </w:rPr>
        <w:t>投保人、被保险人义务</w:t>
      </w:r>
    </w:p>
    <w:p>
      <w:pPr>
        <w:pStyle w:val="15"/>
        <w:spacing w:after="120" w:afterLines="50"/>
        <w:ind w:firstLine="472" w:firstLineChars="196"/>
        <w:rPr>
          <w:rFonts w:ascii="宋体" w:hAnsi="宋体" w:eastAsia="宋体" w:cs="宋体"/>
          <w:szCs w:val="21"/>
        </w:rPr>
      </w:pPr>
      <w:r>
        <w:rPr>
          <w:rFonts w:hint="eastAsia" w:ascii="宋体" w:hAnsi="宋体" w:eastAsia="宋体" w:cs="宋体"/>
          <w:b/>
          <w:szCs w:val="21"/>
        </w:rPr>
        <w:t>第十六条</w:t>
      </w:r>
      <w:r>
        <w:rPr>
          <w:rFonts w:hint="eastAsia" w:ascii="宋体" w:hAnsi="宋体" w:eastAsia="宋体" w:cs="宋体"/>
          <w:szCs w:val="21"/>
        </w:rPr>
        <w:t xml:space="preserve">  订立保险合同，保险人就保险标的或者被保险人的有关情况提出询问的，投保人应当如实告知，并如实填写投保单。</w:t>
      </w:r>
    </w:p>
    <w:p>
      <w:pPr>
        <w:pStyle w:val="11"/>
        <w:spacing w:after="120" w:afterLines="50"/>
        <w:rPr>
          <w:rFonts w:ascii="宋体" w:hAnsi="宋体" w:eastAsia="宋体" w:cs="宋体"/>
          <w:szCs w:val="21"/>
        </w:rPr>
      </w:pPr>
      <w:r>
        <w:rPr>
          <w:rFonts w:hint="eastAsia" w:ascii="宋体" w:hAnsi="宋体" w:eastAsia="宋体" w:cs="宋体"/>
          <w:szCs w:val="21"/>
        </w:rPr>
        <w:t>投保人故意或者因重大过失未履行前款规定的如实告知义务，足以影响保险人决定是否同意承保或者提高保险费率的，保险人有权解除合同。</w:t>
      </w:r>
    </w:p>
    <w:p>
      <w:pPr>
        <w:pStyle w:val="11"/>
        <w:spacing w:after="120" w:afterLines="50"/>
        <w:ind w:firstLine="602"/>
        <w:rPr>
          <w:rFonts w:ascii="宋体" w:hAnsi="宋体" w:eastAsia="宋体" w:cs="宋体"/>
          <w:szCs w:val="21"/>
        </w:rPr>
      </w:pPr>
      <w:r>
        <w:rPr>
          <w:rFonts w:hint="eastAsia" w:ascii="宋体" w:hAnsi="宋体" w:eastAsia="宋体" w:cs="宋体"/>
          <w:b/>
          <w:szCs w:val="21"/>
        </w:rPr>
        <w:t>投保人故意不履行如实告知义务的，保险人对于合同解除前发生的保险事故，不承担赔偿责任，并不退还保险费。</w:t>
      </w:r>
    </w:p>
    <w:p>
      <w:pPr>
        <w:pStyle w:val="11"/>
        <w:spacing w:after="120" w:afterLines="50"/>
        <w:ind w:firstLine="602"/>
        <w:rPr>
          <w:rFonts w:ascii="宋体" w:hAnsi="宋体" w:eastAsia="宋体" w:cs="宋体"/>
          <w:bCs/>
          <w:szCs w:val="21"/>
        </w:rPr>
      </w:pPr>
      <w:r>
        <w:rPr>
          <w:rFonts w:hint="eastAsia" w:ascii="宋体" w:hAnsi="宋体" w:eastAsia="宋体" w:cs="宋体"/>
          <w:b/>
          <w:szCs w:val="21"/>
        </w:rPr>
        <w:t>投保人因重大过失未履行如实告知义务，对保险事故的发生有严重影响的，保险人对于合同解除前发生的保险事故，不承担赔偿责任，</w:t>
      </w:r>
      <w:r>
        <w:rPr>
          <w:rFonts w:hint="eastAsia" w:ascii="宋体" w:hAnsi="宋体" w:eastAsia="宋体" w:cs="宋体"/>
          <w:b/>
          <w:bCs/>
          <w:szCs w:val="21"/>
        </w:rPr>
        <w:t>但应当退还保险费。</w:t>
      </w:r>
    </w:p>
    <w:p>
      <w:pPr>
        <w:pStyle w:val="11"/>
        <w:spacing w:after="120" w:afterLines="50"/>
        <w:ind w:firstLine="602"/>
        <w:rPr>
          <w:rFonts w:ascii="宋体" w:hAnsi="宋体" w:eastAsia="宋体" w:cs="宋体"/>
          <w:b/>
          <w:szCs w:val="21"/>
        </w:rPr>
      </w:pPr>
      <w:r>
        <w:rPr>
          <w:rFonts w:hint="eastAsia" w:ascii="宋体" w:hAnsi="宋体" w:eastAsia="宋体" w:cs="宋体"/>
          <w:b/>
          <w:szCs w:val="21"/>
        </w:rPr>
        <w:t xml:space="preserve">第十七条  </w:t>
      </w:r>
      <w:r>
        <w:rPr>
          <w:rFonts w:hint="eastAsia" w:ascii="宋体" w:hAnsi="宋体" w:eastAsia="宋体" w:cs="宋体"/>
          <w:szCs w:val="21"/>
        </w:rPr>
        <w:t>除另有约定外，投保人应在保险合同成立时交清保险费。</w:t>
      </w:r>
      <w:r>
        <w:rPr>
          <w:rFonts w:hint="eastAsia" w:ascii="宋体" w:hAnsi="宋体" w:eastAsia="宋体" w:cs="宋体"/>
          <w:b/>
          <w:szCs w:val="21"/>
        </w:rPr>
        <w:t>保险费交清前发生的保险事故，保险人不承担赔偿责任。</w:t>
      </w:r>
    </w:p>
    <w:p>
      <w:pPr>
        <w:pStyle w:val="15"/>
        <w:spacing w:after="120" w:afterLines="50"/>
        <w:ind w:firstLine="482"/>
        <w:rPr>
          <w:rFonts w:ascii="宋体" w:hAnsi="宋体" w:eastAsia="宋体" w:cs="宋体"/>
          <w:szCs w:val="21"/>
        </w:rPr>
      </w:pPr>
      <w:r>
        <w:rPr>
          <w:rFonts w:hint="eastAsia" w:ascii="宋体" w:hAnsi="宋体" w:eastAsia="宋体" w:cs="宋体"/>
          <w:b/>
          <w:szCs w:val="21"/>
        </w:rPr>
        <w:t>第十八条</w:t>
      </w:r>
      <w:r>
        <w:rPr>
          <w:rFonts w:hint="eastAsia" w:ascii="宋体" w:hAnsi="宋体" w:eastAsia="宋体" w:cs="宋体"/>
          <w:szCs w:val="21"/>
        </w:rPr>
        <w:t xml:space="preserve">  被保险人应当遵守国家有关消防、安全、生产操作、劳动保护等方面的相关法律、法规及规定，加强管理，采取合理的预防措施，尽力避免或减少责任事故的发生，维护保险标的的安全。保险人可以对被保险人遵守前款约定的情况进行检查，向投保人、被保险人提出消除不安全因素和隐患的书面建议，投保人、被保险人应该认真付诸实施。</w:t>
      </w:r>
    </w:p>
    <w:p>
      <w:pPr>
        <w:pStyle w:val="15"/>
        <w:spacing w:after="120" w:afterLines="50"/>
        <w:rPr>
          <w:rFonts w:ascii="宋体" w:hAnsi="宋体" w:eastAsia="宋体" w:cs="宋体"/>
          <w:szCs w:val="21"/>
        </w:rPr>
      </w:pPr>
      <w:r>
        <w:rPr>
          <w:rFonts w:hint="eastAsia" w:ascii="宋体" w:hAnsi="宋体" w:eastAsia="宋体" w:cs="宋体"/>
          <w:szCs w:val="21"/>
        </w:rPr>
        <w:t>投保人、被保险人未按照约定履行其对保险标的的安全应尽责任的，保险人有权要求增加保险费或者解除合同。</w:t>
      </w:r>
    </w:p>
    <w:p>
      <w:pPr>
        <w:pStyle w:val="15"/>
        <w:spacing w:after="120" w:afterLines="50"/>
        <w:ind w:firstLine="482"/>
        <w:rPr>
          <w:rStyle w:val="34"/>
          <w:rFonts w:ascii="宋体" w:hAnsi="宋体" w:eastAsia="宋体" w:cs="宋体"/>
          <w:bCs/>
          <w:szCs w:val="21"/>
        </w:rPr>
      </w:pPr>
      <w:r>
        <w:rPr>
          <w:rFonts w:hint="eastAsia" w:ascii="宋体" w:hAnsi="宋体" w:eastAsia="宋体" w:cs="宋体"/>
          <w:b/>
          <w:bCs/>
          <w:szCs w:val="21"/>
        </w:rPr>
        <w:t>第十九条</w:t>
      </w:r>
      <w:r>
        <w:rPr>
          <w:rFonts w:hint="eastAsia" w:ascii="宋体" w:hAnsi="宋体" w:eastAsia="宋体" w:cs="宋体"/>
          <w:szCs w:val="21"/>
        </w:rPr>
        <w:t xml:space="preserve">  </w:t>
      </w:r>
      <w:r>
        <w:rPr>
          <w:rStyle w:val="34"/>
          <w:rFonts w:hint="eastAsia" w:ascii="宋体" w:hAnsi="宋体" w:eastAsia="宋体" w:cs="宋体"/>
          <w:color w:val="000000"/>
          <w:szCs w:val="21"/>
        </w:rPr>
        <w:t>保险标的转让的，被保险人或者受让人应当及时通知保险人。</w:t>
      </w:r>
    </w:p>
    <w:p>
      <w:pPr>
        <w:pStyle w:val="15"/>
        <w:spacing w:after="120" w:afterLines="50"/>
        <w:rPr>
          <w:rFonts w:ascii="宋体" w:hAnsi="宋体" w:eastAsia="宋体" w:cs="宋体"/>
          <w:szCs w:val="21"/>
        </w:rPr>
      </w:pPr>
      <w:r>
        <w:rPr>
          <w:rFonts w:hint="eastAsia" w:ascii="宋体" w:hAnsi="宋体" w:eastAsia="宋体" w:cs="宋体"/>
          <w:szCs w:val="21"/>
        </w:rPr>
        <w:t>因保险标的转让导致危险程度显著增加的，保险人自收到前款规定的通知之日起三十日内，可以按照合同约定增加保险费或者解除合同。</w:t>
      </w:r>
      <w:r>
        <w:rPr>
          <w:rFonts w:hint="eastAsia" w:ascii="宋体" w:hAnsi="宋体" w:eastAsia="宋体" w:cs="宋体"/>
          <w:color w:val="000000"/>
          <w:szCs w:val="21"/>
        </w:rPr>
        <w:t>保险人解除合同的，应当将已收取的保险费，按照合同约定扣除自保险责任开始之日起至合同解除之日止应收的部分后，退还投保人。</w:t>
      </w:r>
    </w:p>
    <w:p>
      <w:pPr>
        <w:pStyle w:val="15"/>
        <w:spacing w:after="120" w:afterLines="50"/>
        <w:ind w:firstLine="482"/>
        <w:rPr>
          <w:rFonts w:ascii="宋体" w:hAnsi="宋体" w:eastAsia="宋体" w:cs="宋体"/>
          <w:b/>
          <w:szCs w:val="21"/>
        </w:rPr>
      </w:pPr>
      <w:r>
        <w:rPr>
          <w:rStyle w:val="34"/>
          <w:rFonts w:hint="eastAsia" w:ascii="宋体" w:hAnsi="宋体" w:eastAsia="宋体" w:cs="宋体"/>
          <w:b/>
          <w:color w:val="000000"/>
          <w:szCs w:val="21"/>
        </w:rPr>
        <w:t>被保险人、受让人未履行本条规定的通知义务的，因转让导致保险标的危险程度显著增加而发生的保险事故，保险人不承担赔偿责任。</w:t>
      </w:r>
    </w:p>
    <w:p>
      <w:pPr>
        <w:pStyle w:val="15"/>
        <w:spacing w:after="120" w:afterLines="50"/>
        <w:ind w:firstLine="482"/>
        <w:rPr>
          <w:rFonts w:ascii="宋体" w:hAnsi="宋体" w:eastAsia="宋体" w:cs="宋体"/>
          <w:bCs/>
          <w:szCs w:val="21"/>
        </w:rPr>
      </w:pPr>
      <w:r>
        <w:rPr>
          <w:rFonts w:hint="eastAsia" w:ascii="宋体" w:hAnsi="宋体" w:eastAsia="宋体" w:cs="宋体"/>
          <w:b/>
          <w:bCs/>
          <w:szCs w:val="21"/>
        </w:rPr>
        <w:t>第二十条</w:t>
      </w:r>
      <w:r>
        <w:rPr>
          <w:rFonts w:hint="eastAsia" w:ascii="宋体" w:hAnsi="宋体" w:eastAsia="宋体" w:cs="宋体"/>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pPr>
        <w:spacing w:after="120" w:afterLines="50"/>
        <w:ind w:firstLine="420" w:firstLineChars="199"/>
        <w:rPr>
          <w:rFonts w:ascii="宋体" w:hAnsi="宋体" w:cs="宋体"/>
          <w:b/>
          <w:szCs w:val="21"/>
        </w:rPr>
      </w:pPr>
      <w:r>
        <w:rPr>
          <w:rFonts w:hint="eastAsia" w:ascii="宋体" w:hAnsi="宋体" w:cs="宋体"/>
          <w:b/>
          <w:szCs w:val="21"/>
        </w:rPr>
        <w:t>被保险人未履行前款约定的通知义务的，因保险标的的危险程度显著增加而发生的保险事故，保险人不承担赔偿责任。</w:t>
      </w:r>
    </w:p>
    <w:p>
      <w:pPr>
        <w:spacing w:after="120" w:afterLines="50"/>
        <w:ind w:firstLine="420" w:firstLineChars="199"/>
        <w:rPr>
          <w:rFonts w:ascii="宋体" w:hAnsi="宋体" w:cs="宋体"/>
          <w:szCs w:val="21"/>
        </w:rPr>
      </w:pPr>
      <w:r>
        <w:rPr>
          <w:rFonts w:hint="eastAsia" w:ascii="宋体" w:hAnsi="宋体" w:cs="宋体"/>
          <w:b/>
          <w:szCs w:val="21"/>
        </w:rPr>
        <w:t>第二十一条</w:t>
      </w:r>
      <w:r>
        <w:rPr>
          <w:rFonts w:hint="eastAsia" w:ascii="宋体" w:hAnsi="宋体" w:cs="宋体"/>
          <w:szCs w:val="21"/>
        </w:rPr>
        <w:t xml:space="preserve">  知道保险事故发生后，被保险人应该：</w:t>
      </w:r>
    </w:p>
    <w:p>
      <w:pPr>
        <w:spacing w:after="120" w:afterLines="50"/>
        <w:ind w:firstLine="420" w:firstLineChars="200"/>
        <w:rPr>
          <w:rFonts w:ascii="宋体" w:hAnsi="宋体" w:cs="宋体"/>
          <w:szCs w:val="21"/>
        </w:rPr>
      </w:pPr>
      <w:r>
        <w:rPr>
          <w:rFonts w:hint="eastAsia" w:ascii="宋体" w:hAnsi="宋体" w:cs="宋体"/>
          <w:szCs w:val="21"/>
        </w:rPr>
        <w:t>（一）尽力采取必要、合理的措施，防止或减少损失，否则，</w:t>
      </w:r>
      <w:r>
        <w:rPr>
          <w:rFonts w:hint="eastAsia" w:ascii="宋体" w:hAnsi="宋体" w:cs="宋体"/>
          <w:b/>
          <w:szCs w:val="21"/>
        </w:rPr>
        <w:t>对因此扩大的损失，保险人不承担赔偿责任；</w:t>
      </w:r>
    </w:p>
    <w:p>
      <w:pPr>
        <w:spacing w:after="120" w:afterLines="50"/>
        <w:ind w:firstLine="420" w:firstLineChars="200"/>
        <w:rPr>
          <w:rFonts w:ascii="宋体" w:hAnsi="宋体" w:cs="宋体"/>
          <w:szCs w:val="21"/>
        </w:rPr>
      </w:pPr>
      <w:r>
        <w:rPr>
          <w:rFonts w:hint="eastAsia" w:ascii="宋体" w:hAnsi="宋体" w:cs="宋体"/>
          <w:szCs w:val="21"/>
        </w:rPr>
        <w:t>（二）立即通知保险人，并书面说明事故发生的原因、经过和损失情况；</w:t>
      </w:r>
      <w:r>
        <w:rPr>
          <w:rStyle w:val="34"/>
          <w:rFonts w:hint="eastAsia" w:ascii="宋体" w:hAnsi="宋体" w:cs="宋体"/>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pPr>
        <w:spacing w:after="120" w:afterLines="50"/>
        <w:ind w:firstLine="420" w:firstLineChars="200"/>
        <w:rPr>
          <w:rFonts w:ascii="宋体" w:hAnsi="宋体" w:cs="宋体"/>
          <w:bCs/>
          <w:szCs w:val="21"/>
        </w:rPr>
      </w:pPr>
      <w:r>
        <w:rPr>
          <w:rFonts w:hint="eastAsia" w:ascii="宋体" w:hAnsi="宋体" w:cs="宋体"/>
          <w:bCs/>
          <w:szCs w:val="21"/>
        </w:rPr>
        <w:t>（三）保护事故现场，允许并且协助保险人进行事故调查；</w:t>
      </w:r>
      <w:r>
        <w:rPr>
          <w:rFonts w:hint="eastAsia" w:ascii="宋体" w:hAnsi="宋体" w:cs="宋体"/>
          <w:b/>
          <w:bCs/>
          <w:szCs w:val="21"/>
        </w:rPr>
        <w:t>对于拒绝或者妨碍保险人进行事故调查导致无法确定事故原因或核实损失情况的，保险人对无法核实的部分不承担赔偿责任。</w:t>
      </w:r>
    </w:p>
    <w:p>
      <w:pPr>
        <w:spacing w:after="120" w:afterLines="50"/>
        <w:ind w:firstLine="420" w:firstLineChars="199"/>
        <w:rPr>
          <w:rFonts w:ascii="宋体" w:hAnsi="宋体" w:cs="宋体"/>
          <w:szCs w:val="21"/>
        </w:rPr>
      </w:pPr>
      <w:r>
        <w:rPr>
          <w:rFonts w:hint="eastAsia" w:ascii="宋体" w:hAnsi="宋体" w:cs="宋体"/>
          <w:b/>
          <w:szCs w:val="21"/>
        </w:rPr>
        <w:t xml:space="preserve">第二十二条  </w:t>
      </w:r>
      <w:r>
        <w:rPr>
          <w:rFonts w:hint="eastAsia" w:ascii="宋体" w:hAnsi="宋体" w:cs="宋体"/>
          <w:szCs w:val="21"/>
        </w:rPr>
        <w:t>被保险人请求赔偿时，应向保险人提供下列证明和资料：</w:t>
      </w:r>
    </w:p>
    <w:p>
      <w:pPr>
        <w:spacing w:after="120" w:afterLines="50"/>
        <w:ind w:firstLine="417" w:firstLineChars="199"/>
        <w:rPr>
          <w:rFonts w:ascii="宋体" w:hAnsi="宋体" w:cs="宋体"/>
          <w:szCs w:val="21"/>
        </w:rPr>
      </w:pPr>
      <w:r>
        <w:rPr>
          <w:rFonts w:hint="eastAsia" w:ascii="宋体" w:hAnsi="宋体" w:cs="宋体"/>
          <w:szCs w:val="21"/>
        </w:rPr>
        <w:t>（一）保险单正本、索赔申请、财产损失清单、技术鉴定证明、事故报告书、救护费用发票、必要的帐簿、单据和有关部门的证明；</w:t>
      </w:r>
    </w:p>
    <w:p>
      <w:pPr>
        <w:spacing w:after="120" w:afterLines="50"/>
        <w:ind w:firstLine="417" w:firstLineChars="199"/>
        <w:rPr>
          <w:rFonts w:ascii="宋体" w:hAnsi="宋体" w:cs="宋体"/>
          <w:szCs w:val="21"/>
        </w:rPr>
      </w:pPr>
      <w:r>
        <w:rPr>
          <w:rFonts w:hint="eastAsia" w:ascii="宋体" w:hAnsi="宋体" w:cs="宋体"/>
          <w:szCs w:val="21"/>
        </w:rPr>
        <w:t>（二）投保人、被保险人所能提供的与确认保险事故的性质、原因、损失程度等有关的其他证明和资料。</w:t>
      </w:r>
    </w:p>
    <w:p>
      <w:pPr>
        <w:spacing w:after="120" w:afterLines="50"/>
        <w:ind w:firstLine="420" w:firstLineChars="199"/>
        <w:rPr>
          <w:rFonts w:ascii="宋体" w:hAnsi="宋体" w:cs="宋体"/>
          <w:szCs w:val="21"/>
        </w:rPr>
      </w:pPr>
      <w:r>
        <w:rPr>
          <w:rFonts w:hint="eastAsia" w:ascii="宋体" w:hAnsi="宋体" w:cs="宋体"/>
          <w:b/>
          <w:szCs w:val="21"/>
        </w:rPr>
        <w:t>投保人、被保险人未履行前款约定的单证提供义务，导致保险人无法核实损失情况的，保险人对无法核实的部分不承担赔偿责任。</w:t>
      </w:r>
    </w:p>
    <w:p>
      <w:pPr>
        <w:spacing w:after="120" w:afterLines="50"/>
        <w:jc w:val="center"/>
        <w:rPr>
          <w:rFonts w:ascii="宋体" w:hAnsi="宋体" w:cs="宋体"/>
          <w:b/>
          <w:bCs/>
          <w:szCs w:val="21"/>
        </w:rPr>
      </w:pPr>
      <w:r>
        <w:rPr>
          <w:rFonts w:hint="eastAsia" w:ascii="宋体" w:hAnsi="宋体" w:cs="宋体"/>
          <w:b/>
          <w:bCs/>
          <w:szCs w:val="21"/>
        </w:rPr>
        <w:t>赔偿处理</w:t>
      </w:r>
    </w:p>
    <w:p>
      <w:pPr>
        <w:spacing w:after="120" w:afterLines="50"/>
        <w:ind w:firstLine="422" w:firstLineChars="200"/>
        <w:rPr>
          <w:rFonts w:ascii="宋体" w:hAnsi="宋体" w:cs="宋体"/>
          <w:szCs w:val="21"/>
        </w:rPr>
      </w:pPr>
      <w:r>
        <w:rPr>
          <w:rFonts w:hint="eastAsia" w:ascii="宋体" w:hAnsi="宋体" w:cs="宋体"/>
          <w:b/>
          <w:szCs w:val="21"/>
        </w:rPr>
        <w:t>第二十三条</w:t>
      </w:r>
      <w:r>
        <w:rPr>
          <w:rFonts w:hint="eastAsia" w:ascii="宋体" w:hAnsi="宋体" w:cs="宋体"/>
          <w:szCs w:val="21"/>
        </w:rPr>
        <w:t xml:space="preserve">  </w:t>
      </w:r>
      <w:r>
        <w:rPr>
          <w:rStyle w:val="34"/>
          <w:rFonts w:hint="eastAsia" w:ascii="宋体" w:hAnsi="宋体" w:cs="宋体"/>
          <w:b/>
          <w:color w:val="000000"/>
          <w:szCs w:val="21"/>
        </w:rPr>
        <w:t>保险事故发生时，被保险人对保险标的不具有保险利益的，不得向保险人请求赔偿保险金。</w:t>
      </w:r>
    </w:p>
    <w:p>
      <w:pPr>
        <w:spacing w:after="120" w:afterLines="50"/>
        <w:ind w:firstLine="422" w:firstLineChars="200"/>
        <w:rPr>
          <w:rFonts w:ascii="宋体" w:hAnsi="宋体" w:cs="宋体"/>
          <w:szCs w:val="21"/>
        </w:rPr>
      </w:pPr>
      <w:r>
        <w:rPr>
          <w:rFonts w:hint="eastAsia" w:ascii="宋体" w:hAnsi="宋体" w:cs="宋体"/>
          <w:b/>
          <w:szCs w:val="21"/>
        </w:rPr>
        <w:t>第二十四条</w:t>
      </w:r>
      <w:r>
        <w:rPr>
          <w:rFonts w:hint="eastAsia" w:ascii="宋体" w:hAnsi="宋体" w:cs="宋体"/>
          <w:szCs w:val="21"/>
        </w:rPr>
        <w:t xml:space="preserve">  保险标的发生保险责任范围内的损失，保险人有权选择下列方式赔偿：</w:t>
      </w:r>
    </w:p>
    <w:p>
      <w:pPr>
        <w:spacing w:after="120" w:afterLines="50"/>
        <w:ind w:firstLine="420" w:firstLineChars="200"/>
        <w:rPr>
          <w:rFonts w:ascii="宋体" w:hAnsi="宋体" w:cs="宋体"/>
          <w:szCs w:val="21"/>
        </w:rPr>
      </w:pPr>
      <w:r>
        <w:rPr>
          <w:rFonts w:hint="eastAsia" w:ascii="宋体" w:hAnsi="宋体" w:cs="宋体"/>
          <w:szCs w:val="21"/>
        </w:rPr>
        <w:t>（一）货币赔偿：保险人以支付保险金的方式赔偿；</w:t>
      </w:r>
    </w:p>
    <w:p>
      <w:pPr>
        <w:spacing w:after="120" w:afterLines="50"/>
        <w:ind w:firstLine="420" w:firstLineChars="200"/>
        <w:rPr>
          <w:rFonts w:ascii="宋体" w:hAnsi="宋体" w:cs="宋体"/>
          <w:szCs w:val="21"/>
        </w:rPr>
      </w:pPr>
      <w:r>
        <w:rPr>
          <w:rFonts w:hint="eastAsia" w:ascii="宋体" w:hAnsi="宋体" w:cs="宋体"/>
          <w:szCs w:val="21"/>
        </w:rPr>
        <w:t>（二）实物赔偿：保险人以实物替换受损标的，该实物应具有保险标的出险前同等的类型、结构、状态和性能；</w:t>
      </w:r>
    </w:p>
    <w:p>
      <w:pPr>
        <w:spacing w:after="120" w:afterLines="50"/>
        <w:ind w:firstLine="420" w:firstLineChars="200"/>
        <w:rPr>
          <w:rFonts w:ascii="宋体" w:hAnsi="宋体" w:cs="宋体"/>
          <w:szCs w:val="21"/>
        </w:rPr>
      </w:pPr>
      <w:r>
        <w:rPr>
          <w:rFonts w:hint="eastAsia" w:ascii="宋体" w:hAnsi="宋体" w:cs="宋体"/>
          <w:szCs w:val="21"/>
        </w:rPr>
        <w:t>（三）实际修复：保险人自行或委托他人修理修复受损标的。</w:t>
      </w:r>
    </w:p>
    <w:p>
      <w:pPr>
        <w:spacing w:after="120" w:afterLines="50"/>
        <w:ind w:firstLine="420" w:firstLineChars="200"/>
        <w:rPr>
          <w:rFonts w:ascii="宋体" w:hAnsi="宋体" w:cs="宋体"/>
          <w:szCs w:val="21"/>
        </w:rPr>
      </w:pPr>
      <w:r>
        <w:rPr>
          <w:rFonts w:hint="eastAsia" w:ascii="宋体" w:hAnsi="宋体" w:cs="宋体"/>
          <w:szCs w:val="21"/>
        </w:rPr>
        <w:t>对保险标的在修复或替换过程中，被保险人进行的任何变更、性能增加或改进所产生的额外费用，保险人不负责赔偿。</w:t>
      </w:r>
    </w:p>
    <w:p>
      <w:pPr>
        <w:pStyle w:val="11"/>
        <w:adjustRightInd w:val="0"/>
        <w:snapToGrid w:val="0"/>
        <w:spacing w:after="120" w:afterLines="50"/>
        <w:ind w:firstLine="602"/>
        <w:rPr>
          <w:rFonts w:ascii="宋体" w:hAnsi="宋体" w:eastAsia="宋体" w:cs="宋体"/>
          <w:szCs w:val="21"/>
        </w:rPr>
      </w:pPr>
      <w:r>
        <w:rPr>
          <w:rFonts w:hint="eastAsia" w:ascii="宋体" w:hAnsi="宋体" w:eastAsia="宋体" w:cs="宋体"/>
          <w:b/>
          <w:szCs w:val="21"/>
        </w:rPr>
        <w:t>第二十五条</w:t>
      </w:r>
      <w:r>
        <w:rPr>
          <w:rFonts w:hint="eastAsia" w:ascii="宋体" w:hAnsi="宋体" w:eastAsia="宋体" w:cs="宋体"/>
          <w:szCs w:val="21"/>
        </w:rPr>
        <w:t xml:space="preserve">  保险标的遭受损失后，如果有残余价值，应由双方协商处理。如折归被保险人，由双方协商确定其价值，并在保险赔款中扣除。</w:t>
      </w:r>
    </w:p>
    <w:p>
      <w:pPr>
        <w:autoSpaceDE w:val="0"/>
        <w:autoSpaceDN w:val="0"/>
        <w:adjustRightInd w:val="0"/>
        <w:snapToGrid w:val="0"/>
        <w:spacing w:after="120" w:afterLines="50"/>
        <w:ind w:firstLine="413" w:firstLineChars="196"/>
        <w:rPr>
          <w:rFonts w:ascii="宋体" w:hAnsi="宋体" w:cs="宋体"/>
          <w:szCs w:val="21"/>
        </w:rPr>
      </w:pPr>
      <w:r>
        <w:rPr>
          <w:rFonts w:hint="eastAsia" w:ascii="宋体" w:hAnsi="宋体" w:cs="宋体"/>
          <w:b/>
          <w:szCs w:val="21"/>
        </w:rPr>
        <w:t>第二十六条</w:t>
      </w:r>
      <w:r>
        <w:rPr>
          <w:rFonts w:hint="eastAsia" w:ascii="宋体" w:hAnsi="宋体" w:cs="宋体"/>
          <w:szCs w:val="21"/>
        </w:rPr>
        <w:t xml:space="preserve">  保险标的发生保险责任范围内的损失，保险人按以下方式计算赔偿： </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（一）部分损失以将被保险机器设备修复至其基本恢复受损前状态的费用金额为准，如残值</w:t>
      </w:r>
      <w:r>
        <w:rPr>
          <w:rFonts w:hint="eastAsia" w:ascii="宋体" w:hAnsi="宋体" w:cs="宋体"/>
          <w:kern w:val="0"/>
          <w:szCs w:val="21"/>
        </w:rPr>
        <w:t>折归被保险人，则按双方协商确定的价值，在上述费用金额中扣除；</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（二）全部损失或推定全损以保险机器设备损失前的实际价值为准，如残值</w:t>
      </w:r>
      <w:r>
        <w:rPr>
          <w:rFonts w:hint="eastAsia" w:ascii="宋体" w:hAnsi="宋体" w:cs="宋体"/>
          <w:kern w:val="0"/>
          <w:szCs w:val="21"/>
        </w:rPr>
        <w:t>折归被保险人，则按双方协商确定的价值，在上述费用金额中扣除；</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（三）任何属于成对或成套的设备项目，若发生损失，保险人的赔偿责任不超过该受损项目在所属整对或整套设备项目的保险金额中所占的比例；</w:t>
      </w:r>
    </w:p>
    <w:p>
      <w:pPr>
        <w:autoSpaceDE w:val="0"/>
        <w:autoSpaceDN w:val="0"/>
        <w:adjustRightInd w:val="0"/>
        <w:snapToGrid w:val="0"/>
        <w:spacing w:after="120" w:afterLines="50"/>
        <w:ind w:firstLine="660"/>
        <w:rPr>
          <w:rFonts w:ascii="宋体" w:hAnsi="宋体" w:cs="宋体"/>
          <w:szCs w:val="21"/>
        </w:rPr>
      </w:pPr>
      <w:r>
        <w:rPr>
          <w:rFonts w:hint="eastAsia" w:ascii="宋体" w:hAnsi="宋体" w:cs="宋体"/>
          <w:szCs w:val="21"/>
        </w:rPr>
        <w:t>（四）发生保险事故时，若受损保险标的的分项或总保险金额低于重置价值时，其差额部分视为被保险人所自保，保险人则按本保险合同中列明的保险金额与对应的重置价值的比例负责赔偿。如保险机器多于一项时，每一项将按照本保险合同规定的分项保险金额单独计算比例赔偿的责任。</w:t>
      </w:r>
    </w:p>
    <w:p>
      <w:pPr>
        <w:autoSpaceDE w:val="0"/>
        <w:autoSpaceDN w:val="0"/>
        <w:adjustRightInd w:val="0"/>
        <w:snapToGrid w:val="0"/>
        <w:spacing w:after="120" w:afterLines="50"/>
        <w:ind w:firstLine="413" w:firstLineChars="196"/>
        <w:rPr>
          <w:rFonts w:ascii="宋体" w:hAnsi="宋体" w:cs="宋体"/>
          <w:szCs w:val="21"/>
        </w:rPr>
      </w:pPr>
      <w:r>
        <w:rPr>
          <w:rFonts w:hint="eastAsia" w:ascii="宋体" w:hAnsi="宋体" w:cs="宋体"/>
          <w:b/>
          <w:szCs w:val="21"/>
        </w:rPr>
        <w:t xml:space="preserve">第二十七条 </w:t>
      </w:r>
      <w:r>
        <w:rPr>
          <w:rFonts w:hint="eastAsia" w:ascii="宋体" w:hAnsi="宋体" w:cs="宋体"/>
          <w:szCs w:val="21"/>
        </w:rPr>
        <w:t xml:space="preserve"> 发生保险事故后，被保险人为减少损失而采取必要措施所产生的合理费用，保险人也予以赔偿，但本项费用以被施救保险机器设备的保险金额为限。</w:t>
      </w:r>
    </w:p>
    <w:p>
      <w:pPr>
        <w:pStyle w:val="11"/>
        <w:spacing w:after="120" w:afterLines="50"/>
        <w:rPr>
          <w:rFonts w:ascii="宋体" w:hAnsi="宋体" w:eastAsia="宋体" w:cs="宋体"/>
          <w:szCs w:val="21"/>
        </w:rPr>
      </w:pPr>
      <w:r>
        <w:rPr>
          <w:rFonts w:hint="eastAsia" w:ascii="宋体" w:hAnsi="宋体" w:eastAsia="宋体" w:cs="宋体"/>
          <w:szCs w:val="21"/>
        </w:rPr>
        <w:t>被施救的财产中，含有本保险合同未承保财产的，按被施救保险标的的重置价值与全部被施救财产价值的比例分摊施救费用。</w:t>
      </w:r>
    </w:p>
    <w:p>
      <w:pPr>
        <w:pStyle w:val="11"/>
        <w:spacing w:after="120" w:afterLines="50"/>
        <w:ind w:firstLine="602"/>
        <w:rPr>
          <w:rFonts w:ascii="宋体" w:hAnsi="宋体" w:eastAsia="宋体" w:cs="宋体"/>
          <w:szCs w:val="21"/>
        </w:rPr>
      </w:pPr>
      <w:r>
        <w:rPr>
          <w:rFonts w:hint="eastAsia" w:ascii="宋体" w:hAnsi="宋体" w:eastAsia="宋体" w:cs="宋体"/>
          <w:b/>
          <w:szCs w:val="21"/>
        </w:rPr>
        <w:t xml:space="preserve">第二十八条  </w:t>
      </w:r>
      <w:r>
        <w:rPr>
          <w:rFonts w:hint="eastAsia" w:ascii="宋体" w:hAnsi="宋体" w:eastAsia="宋体" w:cs="宋体"/>
          <w:szCs w:val="21"/>
        </w:rPr>
        <w:t>每次事故保险人的赔偿金额为根据第二十六条、第二十七条约定计算的金额扣除每次事故免赔额后的金额，或者为根据第二十六条、第二十七条约定计算的金额扣除该金额与免赔率乘积后的金额。</w:t>
      </w:r>
    </w:p>
    <w:p>
      <w:pPr>
        <w:adjustRightInd w:val="0"/>
        <w:snapToGrid w:val="0"/>
        <w:spacing w:after="120" w:afterLines="50"/>
        <w:ind w:firstLine="420" w:firstLineChars="199"/>
        <w:rPr>
          <w:rFonts w:ascii="宋体" w:hAnsi="宋体" w:cs="宋体"/>
          <w:szCs w:val="21"/>
        </w:rPr>
      </w:pPr>
      <w:r>
        <w:rPr>
          <w:rFonts w:hint="eastAsia" w:ascii="宋体" w:hAnsi="宋体" w:cs="宋体"/>
          <w:b/>
          <w:szCs w:val="21"/>
        </w:rPr>
        <w:t>第二十九条</w:t>
      </w:r>
      <w:r>
        <w:rPr>
          <w:rFonts w:hint="eastAsia" w:ascii="宋体" w:hAnsi="宋体" w:cs="宋体"/>
          <w:szCs w:val="21"/>
        </w:rPr>
        <w:t xml:space="preserve">  保险事故发生时，如果存在重复保险，保险人按照本保险合同的相应保险金额与其他保险合同及本保险合同相应保险金额总和的比例承担赔偿责任。</w:t>
      </w:r>
    </w:p>
    <w:p>
      <w:pPr>
        <w:adjustRightInd w:val="0"/>
        <w:snapToGrid w:val="0"/>
        <w:spacing w:after="120" w:afterLines="50"/>
        <w:ind w:firstLine="420" w:firstLineChars="199"/>
        <w:rPr>
          <w:rFonts w:ascii="宋体" w:hAnsi="宋体" w:cs="宋体"/>
          <w:szCs w:val="21"/>
        </w:rPr>
      </w:pPr>
      <w:r>
        <w:rPr>
          <w:rFonts w:hint="eastAsia" w:ascii="宋体" w:hAnsi="宋体" w:cs="宋体"/>
          <w:b/>
          <w:szCs w:val="21"/>
        </w:rPr>
        <w:t>其他保险人应承担的赔偿金额，本保险人不负责垫付。若被保险人未如实告知导致保险人多支付赔偿金的，保险人有权向被保险人追回多支付的部分。</w:t>
      </w:r>
    </w:p>
    <w:p>
      <w:pPr>
        <w:autoSpaceDE w:val="0"/>
        <w:autoSpaceDN w:val="0"/>
        <w:spacing w:after="120" w:afterLines="50"/>
        <w:ind w:firstLine="420" w:firstLineChars="199"/>
        <w:rPr>
          <w:rFonts w:ascii="宋体" w:hAnsi="宋体" w:cs="宋体"/>
          <w:szCs w:val="21"/>
        </w:rPr>
      </w:pPr>
      <w:r>
        <w:rPr>
          <w:rFonts w:hint="eastAsia" w:ascii="宋体" w:hAnsi="宋体" w:cs="宋体"/>
          <w:b/>
          <w:szCs w:val="21"/>
        </w:rPr>
        <w:t>第三十条</w:t>
      </w:r>
      <w:r>
        <w:rPr>
          <w:rFonts w:hint="eastAsia" w:ascii="宋体" w:hAnsi="宋体" w:cs="宋体"/>
          <w:szCs w:val="21"/>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tabs>
          <w:tab w:val="left" w:pos="2160"/>
        </w:tabs>
        <w:adjustRightInd w:val="0"/>
        <w:snapToGrid w:val="0"/>
        <w:spacing w:after="120" w:afterLines="50"/>
        <w:ind w:firstLine="422" w:firstLineChars="200"/>
        <w:rPr>
          <w:rStyle w:val="34"/>
          <w:rFonts w:ascii="宋体" w:hAnsi="宋体" w:cs="宋体"/>
          <w:color w:val="000000"/>
          <w:szCs w:val="21"/>
        </w:rPr>
      </w:pPr>
      <w:r>
        <w:rPr>
          <w:rFonts w:hint="eastAsia" w:ascii="宋体" w:hAnsi="宋体" w:cs="宋体"/>
          <w:b/>
          <w:szCs w:val="21"/>
        </w:rPr>
        <w:t>第三十一条</w:t>
      </w:r>
      <w:r>
        <w:rPr>
          <w:rFonts w:hint="eastAsia" w:ascii="宋体" w:hAnsi="宋体" w:cs="宋体"/>
          <w:szCs w:val="21"/>
        </w:rPr>
        <w:t xml:space="preserve">  发</w:t>
      </w:r>
      <w:r>
        <w:rPr>
          <w:rStyle w:val="34"/>
          <w:rFonts w:hint="eastAsia" w:ascii="宋体" w:hAnsi="宋体" w:cs="宋体"/>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20" w:afterLines="50"/>
        <w:ind w:firstLine="420" w:firstLineChars="200"/>
        <w:rPr>
          <w:rStyle w:val="34"/>
          <w:rFonts w:ascii="宋体" w:hAnsi="宋体" w:cs="宋体"/>
          <w:color w:val="000000"/>
          <w:szCs w:val="21"/>
        </w:rPr>
      </w:pPr>
      <w:r>
        <w:rPr>
          <w:rStyle w:val="34"/>
          <w:rFonts w:hint="eastAsia" w:ascii="宋体" w:hAnsi="宋体" w:cs="宋体"/>
          <w:color w:val="000000"/>
          <w:szCs w:val="21"/>
        </w:rPr>
        <w:t>被保险人已经从有关责任方取得赔偿的，保险人赔偿保险金时，可以相应扣减被保险人已从有关责任方取得的赔偿金额。</w:t>
      </w:r>
    </w:p>
    <w:p>
      <w:pPr>
        <w:spacing w:after="120" w:afterLines="50"/>
        <w:ind w:firstLine="420" w:firstLineChars="199"/>
        <w:rPr>
          <w:rStyle w:val="34"/>
          <w:rFonts w:ascii="宋体" w:hAnsi="宋体" w:cs="宋体"/>
          <w:b/>
          <w:color w:val="000000"/>
          <w:szCs w:val="21"/>
        </w:rPr>
      </w:pPr>
      <w:r>
        <w:rPr>
          <w:rStyle w:val="34"/>
          <w:rFonts w:hint="eastAsia" w:ascii="宋体" w:hAnsi="宋体" w:cs="宋体"/>
          <w:b/>
          <w:color w:val="000000"/>
          <w:szCs w:val="21"/>
        </w:rPr>
        <w:t>保险事故发生后，在保险人未赔偿保险金之前，被保险人放弃对有关责任方请求赔偿权利的，保险人不承担赔偿责任；</w:t>
      </w:r>
      <w:r>
        <w:rPr>
          <w:rStyle w:val="34"/>
          <w:rFonts w:hint="eastAsia" w:ascii="宋体" w:hAnsi="宋体" w:cs="宋体"/>
          <w:color w:val="000000"/>
          <w:szCs w:val="21"/>
        </w:rPr>
        <w:t>保险人向被保险人赔偿保险金后，被保险人未经保险人同意放弃对有关责任方请求赔偿权利的，该行为无效；</w:t>
      </w:r>
      <w:r>
        <w:rPr>
          <w:rStyle w:val="34"/>
          <w:rFonts w:hint="eastAsia" w:ascii="宋体" w:hAnsi="宋体" w:cs="宋体"/>
          <w:b/>
          <w:color w:val="000000"/>
          <w:szCs w:val="21"/>
        </w:rPr>
        <w:t>由于被保险人故意或者因重大过失致使保险人不能行使代位请求赔偿的权利的，保险人可以扣减或者要求返还相应的保险金。</w:t>
      </w:r>
    </w:p>
    <w:p>
      <w:pPr>
        <w:spacing w:after="120" w:afterLines="50"/>
        <w:ind w:firstLine="420" w:firstLineChars="199"/>
        <w:rPr>
          <w:rFonts w:ascii="宋体" w:hAnsi="宋体" w:cs="宋体"/>
          <w:szCs w:val="21"/>
        </w:rPr>
      </w:pPr>
      <w:r>
        <w:rPr>
          <w:rFonts w:hint="eastAsia" w:ascii="宋体" w:hAnsi="宋体" w:cs="宋体"/>
          <w:b/>
          <w:szCs w:val="21"/>
        </w:rPr>
        <w:t>第三十二条</w:t>
      </w:r>
      <w:r>
        <w:rPr>
          <w:rFonts w:hint="eastAsia" w:ascii="宋体" w:hAnsi="宋体" w:cs="宋体"/>
          <w:szCs w:val="21"/>
        </w:rPr>
        <w:t xml:space="preserve">  </w:t>
      </w:r>
      <w:r>
        <w:rPr>
          <w:rStyle w:val="34"/>
          <w:rFonts w:hint="eastAsia" w:ascii="宋体" w:hAnsi="宋体" w:cs="宋体"/>
          <w:color w:val="000000"/>
          <w:szCs w:val="21"/>
        </w:rPr>
        <w:t>被保险人向保险人请求赔偿保险金的诉讼时效期间为二年，自其知道或者应当知道保险事故发生之日起计算。</w:t>
      </w:r>
      <w:r>
        <w:rPr>
          <w:rStyle w:val="35"/>
          <w:rFonts w:hint="eastAsia" w:ascii="宋体" w:hAnsi="宋体" w:cs="宋体"/>
          <w:color w:val="000000"/>
          <w:szCs w:val="21"/>
        </w:rPr>
        <w:t> </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争议处理和法律适用</w:t>
      </w:r>
    </w:p>
    <w:p>
      <w:pPr>
        <w:spacing w:after="120" w:afterLines="50"/>
        <w:ind w:firstLine="420" w:firstLineChars="199"/>
        <w:rPr>
          <w:rFonts w:ascii="宋体" w:hAnsi="宋体" w:cs="宋体"/>
          <w:szCs w:val="21"/>
        </w:rPr>
      </w:pPr>
      <w:r>
        <w:rPr>
          <w:rFonts w:hint="eastAsia" w:ascii="宋体" w:hAnsi="宋体" w:cs="宋体"/>
          <w:b/>
          <w:szCs w:val="21"/>
        </w:rPr>
        <w:t>第三十三条</w:t>
      </w:r>
      <w:r>
        <w:rPr>
          <w:rFonts w:hint="eastAsia" w:ascii="宋体" w:hAnsi="宋体" w:cs="宋体"/>
          <w:szCs w:val="21"/>
        </w:rPr>
        <w:t xml:space="preserve">  因履行本保险合同发生的争议，由当事人协商解决。协商不成的，提交保险单载明的仲裁机构仲裁；保险单未载明仲裁机构且争议发生后未达成仲裁协议的，依法向人民法院起诉。</w:t>
      </w:r>
    </w:p>
    <w:p>
      <w:pPr>
        <w:spacing w:after="120" w:afterLines="50"/>
        <w:ind w:firstLine="420" w:firstLineChars="199"/>
        <w:rPr>
          <w:rFonts w:ascii="宋体" w:hAnsi="宋体" w:cs="宋体"/>
          <w:szCs w:val="21"/>
        </w:rPr>
      </w:pPr>
      <w:r>
        <w:rPr>
          <w:rFonts w:hint="eastAsia" w:ascii="宋体" w:hAnsi="宋体" w:cs="宋体"/>
          <w:b/>
          <w:szCs w:val="21"/>
        </w:rPr>
        <w:t>第三十四条</w:t>
      </w:r>
      <w:r>
        <w:rPr>
          <w:rFonts w:hint="eastAsia" w:ascii="宋体" w:hAnsi="宋体" w:cs="宋体"/>
          <w:szCs w:val="21"/>
        </w:rPr>
        <w:t xml:space="preserve">  与本保险合同有关的以及履行本保险合同产生的一切争议，适用中华人民共和国法律（不包括港澳台地区法律）。</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其他事项</w:t>
      </w:r>
    </w:p>
    <w:p>
      <w:pPr>
        <w:spacing w:after="120" w:afterLines="50"/>
        <w:ind w:firstLine="420" w:firstLineChars="199"/>
        <w:rPr>
          <w:rStyle w:val="35"/>
          <w:rFonts w:ascii="宋体" w:hAnsi="宋体" w:cs="宋体"/>
          <w:color w:val="000000"/>
          <w:szCs w:val="21"/>
        </w:rPr>
      </w:pPr>
      <w:r>
        <w:rPr>
          <w:rFonts w:hint="eastAsia" w:ascii="宋体" w:hAnsi="宋体" w:cs="宋体"/>
          <w:b/>
          <w:szCs w:val="21"/>
        </w:rPr>
        <w:t>第三十五条</w:t>
      </w:r>
      <w:r>
        <w:rPr>
          <w:rFonts w:hint="eastAsia" w:ascii="宋体" w:hAnsi="宋体" w:cs="宋体"/>
          <w:szCs w:val="21"/>
        </w:rPr>
        <w:t xml:space="preserve">  </w:t>
      </w:r>
      <w:r>
        <w:rPr>
          <w:rStyle w:val="34"/>
          <w:rFonts w:hint="eastAsia" w:ascii="宋体" w:hAnsi="宋体" w:cs="宋体"/>
          <w:color w:val="000000"/>
          <w:szCs w:val="21"/>
        </w:rPr>
        <w:t>保险标的发生部分损失的，自保险人赔偿之日起三十日内，投保人可以解除合同；除合同另有约定外，保险人也可以解除合同，但应当提前十五日通知投保人。</w:t>
      </w:r>
      <w:r>
        <w:rPr>
          <w:rStyle w:val="35"/>
          <w:rFonts w:hint="eastAsia" w:ascii="宋体" w:hAnsi="宋体" w:cs="宋体"/>
          <w:color w:val="000000"/>
          <w:szCs w:val="21"/>
        </w:rPr>
        <w:t> </w:t>
      </w:r>
    </w:p>
    <w:p>
      <w:pPr>
        <w:spacing w:after="120" w:afterLines="50"/>
        <w:ind w:firstLine="417" w:firstLineChars="199"/>
        <w:rPr>
          <w:rStyle w:val="34"/>
          <w:rFonts w:ascii="宋体" w:hAnsi="宋体" w:cs="宋体"/>
          <w:szCs w:val="21"/>
        </w:rPr>
      </w:pPr>
      <w:r>
        <w:rPr>
          <w:rFonts w:hint="eastAsia" w:ascii="宋体" w:hAnsi="宋体" w:cs="宋体"/>
          <w:color w:val="000000"/>
          <w:szCs w:val="21"/>
        </w:rPr>
        <w:t>保险合同依据前款规定</w:t>
      </w:r>
      <w:r>
        <w:rPr>
          <w:rStyle w:val="34"/>
          <w:rFonts w:hint="eastAsia" w:ascii="宋体" w:hAnsi="宋体" w:cs="宋体"/>
          <w:color w:val="000000"/>
          <w:szCs w:val="21"/>
        </w:rPr>
        <w:t>解除的，保险人应当将保险标的未受损失部分的保险费，按照合同约定扣除自保险责任开始之日起至合同解除之日止应收的部分后，退还投保人。</w:t>
      </w:r>
    </w:p>
    <w:p>
      <w:pPr>
        <w:spacing w:after="120" w:afterLines="50"/>
        <w:ind w:firstLine="422" w:firstLineChars="200"/>
        <w:rPr>
          <w:rStyle w:val="34"/>
          <w:rFonts w:ascii="宋体" w:hAnsi="宋体" w:cs="宋体"/>
          <w:szCs w:val="21"/>
        </w:rPr>
      </w:pPr>
      <w:r>
        <w:rPr>
          <w:rFonts w:hint="eastAsia" w:ascii="宋体" w:hAnsi="宋体" w:cs="宋体"/>
          <w:b/>
          <w:szCs w:val="21"/>
        </w:rPr>
        <w:t>第三十六条</w:t>
      </w:r>
      <w:r>
        <w:rPr>
          <w:rFonts w:hint="eastAsia" w:ascii="宋体" w:hAnsi="宋体" w:cs="宋体"/>
          <w:szCs w:val="21"/>
        </w:rPr>
        <w:t xml:space="preserve">  </w:t>
      </w:r>
      <w:r>
        <w:rPr>
          <w:rStyle w:val="34"/>
          <w:rFonts w:hint="eastAsia" w:ascii="宋体" w:hAnsi="宋体" w:cs="宋体"/>
          <w:szCs w:val="21"/>
        </w:rPr>
        <w:t>保险责任开始前，投保人要求解除保险合同的，应当按本保险合同的约定向保险人支付退保手续费，保险人应当退还剩余部分保险费。</w:t>
      </w:r>
    </w:p>
    <w:p>
      <w:pPr>
        <w:spacing w:after="120" w:afterLines="50"/>
        <w:ind w:firstLine="420" w:firstLineChars="200"/>
        <w:rPr>
          <w:rStyle w:val="34"/>
          <w:rFonts w:ascii="宋体" w:hAnsi="宋体" w:cs="宋体"/>
          <w:szCs w:val="21"/>
        </w:rPr>
      </w:pPr>
      <w:r>
        <w:rPr>
          <w:rStyle w:val="34"/>
          <w:rFonts w:hint="eastAsia" w:ascii="宋体" w:hAnsi="宋体" w:cs="宋体"/>
          <w:szCs w:val="21"/>
        </w:rPr>
        <w:t>保险责任开始后，投保人要求解除保险合同的，自通知保险人之日起，保险合同解除，保险人按短期费率计收保险责任开始之日起至合同解除之日止期间的保险费，并退还剩余部分保险费。</w:t>
      </w:r>
    </w:p>
    <w:p>
      <w:pPr>
        <w:spacing w:after="120" w:afterLines="50"/>
        <w:ind w:firstLine="420" w:firstLineChars="200"/>
        <w:rPr>
          <w:rFonts w:ascii="宋体" w:hAnsi="宋体" w:cs="宋体"/>
          <w:szCs w:val="21"/>
        </w:rPr>
      </w:pPr>
      <w:r>
        <w:rPr>
          <w:rStyle w:val="34"/>
          <w:rFonts w:hint="eastAsia" w:ascii="宋体" w:hAnsi="宋体" w:cs="宋体"/>
          <w:szCs w:val="21"/>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pPr>
        <w:spacing w:after="120" w:afterLines="50"/>
        <w:ind w:firstLine="420" w:firstLineChars="199"/>
        <w:rPr>
          <w:rFonts w:ascii="宋体" w:hAnsi="宋体" w:cs="宋体"/>
          <w:szCs w:val="21"/>
        </w:rPr>
      </w:pPr>
      <w:r>
        <w:rPr>
          <w:rFonts w:hint="eastAsia" w:ascii="宋体" w:hAnsi="宋体" w:cs="宋体"/>
          <w:b/>
          <w:szCs w:val="21"/>
        </w:rPr>
        <w:t>第三十七条</w:t>
      </w:r>
      <w:r>
        <w:rPr>
          <w:rFonts w:hint="eastAsia" w:ascii="宋体" w:hAnsi="宋体" w:cs="宋体"/>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w:t>
      </w:r>
    </w:p>
    <w:p>
      <w:pPr>
        <w:spacing w:after="120" w:afterLines="50"/>
        <w:ind w:firstLine="525" w:firstLineChars="249"/>
        <w:jc w:val="center"/>
        <w:rPr>
          <w:rFonts w:ascii="宋体" w:hAnsi="宋体" w:cs="宋体"/>
          <w:b/>
          <w:szCs w:val="21"/>
        </w:rPr>
      </w:pPr>
      <w:r>
        <w:rPr>
          <w:rFonts w:hint="eastAsia" w:ascii="宋体" w:hAnsi="宋体" w:cs="宋体"/>
          <w:b/>
          <w:szCs w:val="21"/>
        </w:rPr>
        <w:t>释义</w:t>
      </w:r>
    </w:p>
    <w:p>
      <w:pPr>
        <w:pStyle w:val="2"/>
        <w:spacing w:afterLines="50"/>
        <w:ind w:firstLine="420" w:firstLineChars="200"/>
        <w:rPr>
          <w:rFonts w:ascii="宋体" w:hAnsi="宋体" w:cs="宋体"/>
          <w:b/>
          <w:szCs w:val="21"/>
        </w:rPr>
      </w:pPr>
      <w:r>
        <w:rPr>
          <w:rFonts w:hint="eastAsia" w:ascii="宋体" w:hAnsi="宋体" w:cs="宋体"/>
          <w:szCs w:val="21"/>
        </w:rPr>
        <w:t xml:space="preserve">第三十八条  </w:t>
      </w:r>
      <w:r>
        <w:rPr>
          <w:rFonts w:hint="eastAsia" w:ascii="宋体" w:hAnsi="宋体" w:cs="宋体"/>
          <w:b/>
          <w:szCs w:val="21"/>
        </w:rPr>
        <w:t>本保险合同涉及下列术语时，适用下列释义：</w:t>
      </w:r>
    </w:p>
    <w:p>
      <w:pPr>
        <w:spacing w:after="120" w:afterLines="50"/>
        <w:ind w:firstLine="380" w:firstLineChars="181"/>
        <w:rPr>
          <w:rFonts w:ascii="宋体" w:hAnsi="宋体" w:cs="宋体"/>
          <w:szCs w:val="21"/>
        </w:rPr>
      </w:pPr>
      <w:r>
        <w:rPr>
          <w:rFonts w:hint="eastAsia" w:ascii="宋体" w:hAnsi="宋体" w:cs="宋体"/>
          <w:szCs w:val="21"/>
        </w:rPr>
        <w:t>（一）火灾</w:t>
      </w:r>
    </w:p>
    <w:p>
      <w:pPr>
        <w:spacing w:after="120" w:afterLines="50"/>
        <w:ind w:firstLine="420"/>
        <w:rPr>
          <w:rFonts w:ascii="宋体" w:hAnsi="宋体" w:cs="宋体"/>
          <w:szCs w:val="21"/>
        </w:rPr>
      </w:pPr>
      <w:r>
        <w:rPr>
          <w:rFonts w:hint="eastAsia" w:ascii="宋体" w:hAnsi="宋体" w:cs="宋体"/>
          <w:szCs w:val="21"/>
        </w:rPr>
        <w:t xml:space="preserve"> 在时间或空间上失去控制的燃烧所造成的灾害。构成本保险的火灾责任必须同时具备以下三个条件：</w:t>
      </w:r>
    </w:p>
    <w:p>
      <w:pPr>
        <w:spacing w:after="120" w:afterLines="50"/>
        <w:ind w:firstLine="420"/>
        <w:rPr>
          <w:rFonts w:ascii="宋体" w:hAnsi="宋体" w:cs="宋体"/>
          <w:szCs w:val="21"/>
        </w:rPr>
      </w:pPr>
      <w:r>
        <w:rPr>
          <w:rFonts w:hint="eastAsia" w:ascii="宋体" w:hAnsi="宋体" w:cs="宋体"/>
          <w:szCs w:val="21"/>
        </w:rPr>
        <w:t xml:space="preserve">  1、有燃烧现象，即有热有光有火焰；</w:t>
      </w:r>
    </w:p>
    <w:p>
      <w:pPr>
        <w:spacing w:after="120" w:afterLines="50"/>
        <w:ind w:firstLine="420"/>
        <w:rPr>
          <w:rFonts w:ascii="宋体" w:hAnsi="宋体" w:cs="宋体"/>
          <w:szCs w:val="21"/>
        </w:rPr>
      </w:pPr>
      <w:r>
        <w:rPr>
          <w:rFonts w:hint="eastAsia" w:ascii="宋体" w:hAnsi="宋体" w:cs="宋体"/>
          <w:szCs w:val="21"/>
        </w:rPr>
        <w:t xml:space="preserve">  2、偶然、意外发生的燃烧；</w:t>
      </w:r>
    </w:p>
    <w:p>
      <w:pPr>
        <w:spacing w:after="120" w:afterLines="50"/>
        <w:ind w:firstLine="420"/>
        <w:rPr>
          <w:rFonts w:ascii="宋体" w:hAnsi="宋体" w:cs="宋体"/>
          <w:szCs w:val="21"/>
        </w:rPr>
      </w:pPr>
      <w:r>
        <w:rPr>
          <w:rFonts w:hint="eastAsia" w:ascii="宋体" w:hAnsi="宋体" w:cs="宋体"/>
          <w:szCs w:val="21"/>
        </w:rPr>
        <w:t xml:space="preserve">  3、燃烧失去控制并有蔓延扩大的趋势。</w:t>
      </w:r>
    </w:p>
    <w:p>
      <w:pPr>
        <w:spacing w:after="120" w:afterLines="50"/>
        <w:ind w:firstLine="420"/>
        <w:rPr>
          <w:rFonts w:ascii="宋体" w:hAnsi="宋体" w:cs="宋体"/>
          <w:szCs w:val="21"/>
        </w:rPr>
      </w:pPr>
      <w:r>
        <w:rPr>
          <w:rFonts w:hint="eastAsia" w:ascii="宋体" w:hAnsi="宋体" w:cs="宋体"/>
          <w:szCs w:val="21"/>
        </w:rPr>
        <w:t xml:space="preserve">  因此，仅有燃烧现象并不等于构成本保险中的火灾责任。在生产、生活中有目的用火，如为了防疫而焚毁站污的衣物，点火烧荒等属正常燃烧，不同于火灾责任。</w:t>
      </w:r>
    </w:p>
    <w:p>
      <w:pPr>
        <w:spacing w:after="120" w:afterLines="50"/>
        <w:ind w:firstLine="420" w:firstLineChars="200"/>
        <w:rPr>
          <w:rFonts w:ascii="宋体" w:hAnsi="宋体" w:cs="宋体"/>
          <w:szCs w:val="21"/>
        </w:rPr>
      </w:pPr>
      <w:r>
        <w:rPr>
          <w:rFonts w:hint="eastAsia" w:ascii="宋体" w:hAnsi="宋体" w:cs="宋体"/>
          <w:szCs w:val="21"/>
        </w:rPr>
        <w:t>因烘、烤、烫、烙造成焦糊变质等损失，既无燃烧现象，又无蔓延扩大趋势，也不属于火灾责任。</w:t>
      </w:r>
    </w:p>
    <w:p>
      <w:pPr>
        <w:spacing w:after="120" w:afterLines="50"/>
        <w:ind w:firstLine="420" w:firstLineChars="200"/>
        <w:rPr>
          <w:rFonts w:ascii="宋体" w:hAnsi="宋体" w:cs="宋体"/>
          <w:szCs w:val="21"/>
        </w:rPr>
      </w:pPr>
      <w:r>
        <w:rPr>
          <w:rFonts w:hint="eastAsia" w:ascii="宋体" w:hAnsi="宋体" w:cs="宋体"/>
          <w:szCs w:val="21"/>
        </w:rPr>
        <w:t>电机、电器、电气设备因使用过度、超电压、碰线、孤花、漏电、自身发热所造成的本身损毁，不属于火灾责任。但如果发生了燃烧并失去控制蔓延扩大，才构成火灾责任，并对电机、电器、电气设备本身的损失负责赔偿。</w:t>
      </w:r>
    </w:p>
    <w:p>
      <w:pPr>
        <w:spacing w:after="120" w:afterLines="50"/>
        <w:ind w:firstLine="420"/>
        <w:rPr>
          <w:rFonts w:ascii="宋体" w:hAnsi="宋体" w:cs="宋体"/>
          <w:szCs w:val="21"/>
        </w:rPr>
      </w:pPr>
      <w:r>
        <w:rPr>
          <w:rFonts w:hint="eastAsia" w:ascii="宋体" w:hAnsi="宋体" w:cs="宋体"/>
          <w:szCs w:val="21"/>
        </w:rPr>
        <w:t xml:space="preserve"> （二）爆炸</w:t>
      </w:r>
    </w:p>
    <w:p>
      <w:pPr>
        <w:spacing w:after="120" w:afterLines="50"/>
        <w:ind w:firstLine="420" w:firstLineChars="200"/>
        <w:rPr>
          <w:rFonts w:ascii="宋体" w:hAnsi="宋体" w:cs="宋体"/>
          <w:szCs w:val="21"/>
        </w:rPr>
      </w:pPr>
      <w:r>
        <w:rPr>
          <w:rFonts w:hint="eastAsia" w:ascii="宋体" w:hAnsi="宋体" w:cs="宋体"/>
          <w:szCs w:val="21"/>
        </w:rPr>
        <w:t>爆炸分物理性爆炸和化学性爆炸。</w:t>
      </w:r>
    </w:p>
    <w:p>
      <w:pPr>
        <w:spacing w:after="120" w:afterLines="50"/>
        <w:ind w:firstLine="420" w:firstLineChars="200"/>
        <w:rPr>
          <w:rFonts w:ascii="宋体" w:hAnsi="宋体" w:cs="宋体"/>
          <w:szCs w:val="21"/>
        </w:rPr>
      </w:pPr>
      <w:r>
        <w:rPr>
          <w:rFonts w:hint="eastAsia" w:ascii="宋体" w:hAnsi="宋体" w:cs="宋体"/>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pacing w:after="120" w:afterLines="50"/>
        <w:ind w:firstLine="380" w:firstLineChars="181"/>
        <w:rPr>
          <w:rFonts w:ascii="宋体" w:hAnsi="宋体" w:cs="宋体"/>
          <w:szCs w:val="21"/>
        </w:rPr>
      </w:pPr>
      <w:r>
        <w:rPr>
          <w:rFonts w:hint="eastAsia" w:ascii="宋体" w:hAnsi="宋体" w:cs="宋体"/>
          <w:szCs w:val="21"/>
        </w:rPr>
        <w:t xml:space="preserve"> 2、化学性爆炸：物体在瞬息分解或燃烧时放出大量的热和气体，并以很大的压力向四周扩散的现象。如火药爆炸、可燃性粉尘纤维爆炸、可燃气体爆炸及各种化学物品的爆炸等。</w:t>
      </w:r>
    </w:p>
    <w:p>
      <w:pPr>
        <w:spacing w:after="120" w:afterLines="50"/>
        <w:ind w:firstLine="420" w:firstLineChars="200"/>
        <w:rPr>
          <w:rFonts w:ascii="宋体" w:hAnsi="宋体" w:cs="宋体"/>
          <w:szCs w:val="21"/>
        </w:rPr>
      </w:pPr>
      <w:r>
        <w:rPr>
          <w:rFonts w:hint="eastAsia" w:ascii="宋体" w:hAnsi="宋体" w:cs="宋体"/>
          <w:szCs w:val="21"/>
        </w:rPr>
        <w:t>因物体本身的瑕疵，使用损耗或产品质量低劣以及由于容器内部承受“负压’（内压比外压小）造成的损失，不属于爆炸责任。</w:t>
      </w:r>
    </w:p>
    <w:p>
      <w:pPr>
        <w:spacing w:after="120" w:afterLines="50"/>
        <w:ind w:firstLine="420" w:firstLineChars="200"/>
        <w:rPr>
          <w:rFonts w:ascii="宋体" w:hAnsi="宋体" w:cs="宋体"/>
          <w:szCs w:val="21"/>
        </w:rPr>
      </w:pPr>
      <w:r>
        <w:rPr>
          <w:rFonts w:hint="eastAsia" w:ascii="宋体" w:hAnsi="宋体" w:cs="宋体"/>
          <w:szCs w:val="21"/>
        </w:rPr>
        <w:t>（三）雷击</w:t>
      </w:r>
    </w:p>
    <w:p>
      <w:pPr>
        <w:spacing w:after="120" w:afterLines="50"/>
        <w:ind w:firstLine="420" w:firstLineChars="200"/>
        <w:rPr>
          <w:rFonts w:ascii="宋体" w:hAnsi="宋体" w:cs="宋体"/>
          <w:szCs w:val="21"/>
        </w:rPr>
      </w:pPr>
      <w:r>
        <w:rPr>
          <w:rFonts w:hint="eastAsia" w:ascii="宋体" w:hAnsi="宋体" w:cs="宋体"/>
          <w:szCs w:val="21"/>
        </w:rPr>
        <w:t>雷击指由雷电造成的灾害。雷电为积雨云中、云间或云地之间产生的放电现象。雷击的破坏形式分直接雷击与感应雷击两种。</w:t>
      </w:r>
    </w:p>
    <w:p>
      <w:pPr>
        <w:spacing w:after="120" w:afterLines="50"/>
        <w:ind w:firstLine="420" w:firstLineChars="200"/>
        <w:rPr>
          <w:rFonts w:ascii="宋体" w:hAnsi="宋体" w:cs="宋体"/>
          <w:szCs w:val="21"/>
        </w:rPr>
      </w:pPr>
      <w:r>
        <w:rPr>
          <w:rFonts w:hint="eastAsia" w:ascii="宋体" w:hAnsi="宋体" w:cs="宋体"/>
          <w:szCs w:val="21"/>
        </w:rPr>
        <w:t>1、直接雷击：由于雷电直接击中保险标的造成损失，属直接雷击责任。</w:t>
      </w:r>
    </w:p>
    <w:p>
      <w:pPr>
        <w:spacing w:after="120" w:afterLines="50"/>
        <w:ind w:firstLine="420" w:firstLineChars="200"/>
        <w:rPr>
          <w:rFonts w:ascii="宋体" w:hAnsi="宋体" w:cs="宋体"/>
          <w:szCs w:val="21"/>
        </w:rPr>
      </w:pPr>
      <w:r>
        <w:rPr>
          <w:rFonts w:hint="eastAsia" w:ascii="宋体" w:hAnsi="宋体" w:cs="宋体"/>
          <w:szCs w:val="21"/>
        </w:rPr>
        <w:t>2、感应雷击：由于雷击产生的静电感应或电磁感应使屋内对地绝缘金属物体产生高电位放出火花引起的火灾，导致电器本身的损毁，或因雷电的高电压感应，致使电器部件的损毁，属感应雷击责任。</w:t>
      </w:r>
    </w:p>
    <w:p>
      <w:pPr>
        <w:spacing w:after="120" w:afterLines="50"/>
        <w:ind w:firstLine="420" w:firstLineChars="200"/>
        <w:rPr>
          <w:rFonts w:ascii="宋体" w:hAnsi="宋体" w:cs="宋体"/>
          <w:szCs w:val="21"/>
        </w:rPr>
      </w:pPr>
      <w:r>
        <w:rPr>
          <w:rFonts w:hint="eastAsia" w:ascii="宋体" w:hAnsi="宋体" w:cs="宋体"/>
          <w:szCs w:val="21"/>
        </w:rPr>
        <w:t>（四）暴雨：指每小时降雨量达16毫米以上，或连续12小时降雨量达30毫米以上，或连续24小时降雨量达50毫米以上的降雨。</w:t>
      </w:r>
    </w:p>
    <w:p>
      <w:pPr>
        <w:spacing w:after="120" w:afterLines="50"/>
        <w:ind w:firstLine="420" w:firstLineChars="200"/>
        <w:rPr>
          <w:rFonts w:ascii="宋体" w:hAnsi="宋体" w:cs="宋体"/>
          <w:szCs w:val="21"/>
        </w:rPr>
      </w:pPr>
      <w:r>
        <w:rPr>
          <w:rFonts w:hint="eastAsia" w:ascii="宋体" w:hAnsi="宋体" w:cs="宋体"/>
          <w:szCs w:val="21"/>
        </w:rPr>
        <w:t>（五）洪水：指山洪暴发、江河泛滥、潮水上岸及倒灌。但规律性的涨潮、自动灭火设施漏水以及在常年水位以下或地下渗水、水管爆裂不属于洪水责任。</w:t>
      </w:r>
    </w:p>
    <w:p>
      <w:pPr>
        <w:spacing w:after="120" w:afterLines="50"/>
        <w:ind w:firstLine="420" w:firstLineChars="200"/>
        <w:rPr>
          <w:rFonts w:ascii="宋体" w:hAnsi="宋体" w:cs="宋体"/>
          <w:szCs w:val="21"/>
        </w:rPr>
      </w:pPr>
      <w:r>
        <w:rPr>
          <w:rFonts w:hint="eastAsia" w:ascii="宋体" w:hAnsi="宋体" w:cs="宋体"/>
          <w:szCs w:val="21"/>
        </w:rPr>
        <w:t>（六）暴风：指风力达8级、风速在17.2米/秒以上的自然风。</w:t>
      </w:r>
    </w:p>
    <w:p>
      <w:pPr>
        <w:spacing w:after="120" w:afterLines="50"/>
        <w:ind w:firstLine="420" w:firstLineChars="200"/>
        <w:rPr>
          <w:rFonts w:ascii="宋体" w:hAnsi="宋体" w:cs="宋体"/>
          <w:szCs w:val="21"/>
        </w:rPr>
      </w:pPr>
      <w:r>
        <w:rPr>
          <w:rFonts w:hint="eastAsia" w:ascii="宋体" w:hAnsi="宋体" w:cs="宋体"/>
          <w:szCs w:val="21"/>
        </w:rPr>
        <w:t>（七）龙卷风：指一种范围小而时间短的猛烈旋风，陆地上平均最大风速在79米/秒-103米/秒，极端最大风速在100米/秒以上。</w:t>
      </w:r>
    </w:p>
    <w:p>
      <w:pPr>
        <w:spacing w:after="120" w:afterLines="50"/>
        <w:ind w:firstLine="420" w:firstLineChars="200"/>
        <w:rPr>
          <w:rFonts w:ascii="宋体" w:hAnsi="宋体" w:cs="宋体"/>
          <w:szCs w:val="21"/>
        </w:rPr>
      </w:pPr>
      <w:r>
        <w:rPr>
          <w:rFonts w:hint="eastAsia" w:ascii="宋体" w:hAnsi="宋体" w:cs="宋体"/>
          <w:szCs w:val="21"/>
        </w:rPr>
        <w:t>（八）冰雹：指从强烈对流的积雨云中降落到地面的冰块或冰球，直径大于5毫米，核心坚硬的固体降水。</w:t>
      </w:r>
    </w:p>
    <w:p>
      <w:pPr>
        <w:spacing w:after="120" w:afterLines="50"/>
        <w:ind w:firstLine="420" w:firstLineChars="200"/>
        <w:rPr>
          <w:rFonts w:ascii="宋体" w:hAnsi="宋体" w:cs="宋体"/>
          <w:szCs w:val="21"/>
        </w:rPr>
      </w:pPr>
      <w:r>
        <w:rPr>
          <w:rFonts w:hint="eastAsia" w:ascii="宋体" w:hAnsi="宋体" w:cs="宋体"/>
          <w:szCs w:val="21"/>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after="120" w:afterLines="50"/>
        <w:ind w:firstLine="420" w:firstLineChars="200"/>
        <w:rPr>
          <w:rFonts w:ascii="宋体" w:hAnsi="宋体" w:cs="宋体"/>
          <w:szCs w:val="21"/>
        </w:rPr>
      </w:pPr>
      <w:r>
        <w:rPr>
          <w:rFonts w:hint="eastAsia" w:ascii="宋体" w:hAnsi="宋体" w:cs="宋体"/>
          <w:szCs w:val="21"/>
        </w:rPr>
        <w:t>（十）沙尘暴：指强风将地面大量尘沙吹起，使空气很混浊，水平能见度小于1公里的天气现象。</w:t>
      </w:r>
    </w:p>
    <w:p>
      <w:pPr>
        <w:spacing w:after="120" w:afterLines="50"/>
        <w:ind w:firstLine="420" w:firstLineChars="200"/>
        <w:rPr>
          <w:rFonts w:ascii="宋体" w:hAnsi="宋体" w:cs="宋体"/>
          <w:szCs w:val="21"/>
        </w:rPr>
      </w:pPr>
      <w:r>
        <w:rPr>
          <w:rFonts w:hint="eastAsia" w:ascii="宋体" w:hAnsi="宋体" w:cs="宋体"/>
          <w:szCs w:val="21"/>
        </w:rPr>
        <w:t>（十一）暴雪：指连续12小时的降雪量大于或等于10毫米的降雪现象。</w:t>
      </w:r>
    </w:p>
    <w:p>
      <w:pPr>
        <w:spacing w:after="120" w:afterLines="50"/>
        <w:ind w:firstLine="420" w:firstLineChars="200"/>
        <w:rPr>
          <w:rFonts w:ascii="宋体" w:hAnsi="宋体" w:cs="宋体"/>
          <w:szCs w:val="21"/>
        </w:rPr>
      </w:pPr>
      <w:r>
        <w:rPr>
          <w:rFonts w:hint="eastAsia" w:ascii="宋体" w:hAnsi="宋体" w:cs="宋体"/>
          <w:szCs w:val="21"/>
        </w:rPr>
        <w:t>（十二）冰凌：指春季江河解冻期时冰块飘浮遇阻，堆积成坝，堵塞江道，造成水位急剧上升，以致江水溢出江道，漫延成灾。</w:t>
      </w:r>
    </w:p>
    <w:p>
      <w:pPr>
        <w:spacing w:after="120" w:afterLines="50"/>
        <w:ind w:firstLine="420" w:firstLineChars="200"/>
        <w:rPr>
          <w:rFonts w:ascii="宋体" w:hAnsi="宋体" w:cs="宋体"/>
          <w:szCs w:val="21"/>
        </w:rPr>
      </w:pPr>
      <w:r>
        <w:rPr>
          <w:rFonts w:hint="eastAsia" w:ascii="宋体" w:hAnsi="宋体" w:cs="宋体"/>
          <w:szCs w:val="21"/>
        </w:rPr>
        <w:t>陆上有些地区，如山谷风口或酷寒致使雨雪在物体上结成冰块，成下垂形状，越结越厚，重量增加，由于下垂的拉力致使物体毁坏，也属冰凌责任。</w:t>
      </w:r>
    </w:p>
    <w:p>
      <w:pPr>
        <w:spacing w:after="120" w:afterLines="50"/>
        <w:ind w:firstLine="420" w:firstLineChars="200"/>
        <w:rPr>
          <w:rFonts w:ascii="宋体" w:hAnsi="宋体" w:cs="宋体"/>
          <w:szCs w:val="21"/>
        </w:rPr>
      </w:pPr>
      <w:r>
        <w:rPr>
          <w:rFonts w:hint="eastAsia" w:ascii="宋体" w:hAnsi="宋体" w:cs="宋体"/>
          <w:szCs w:val="21"/>
        </w:rPr>
        <w:t>（十三）突发性滑坡：斜坡上不稳的岩土体或人为堆积物在重力作用下突然整体向下滑动的现象。</w:t>
      </w:r>
    </w:p>
    <w:p>
      <w:pPr>
        <w:spacing w:after="120" w:afterLines="50"/>
        <w:ind w:firstLine="420" w:firstLineChars="200"/>
        <w:rPr>
          <w:rFonts w:ascii="宋体" w:hAnsi="宋体" w:cs="宋体"/>
          <w:szCs w:val="21"/>
        </w:rPr>
      </w:pPr>
      <w:r>
        <w:rPr>
          <w:rFonts w:hint="eastAsia" w:ascii="宋体" w:hAnsi="宋体" w:cs="宋体"/>
          <w:szCs w:val="21"/>
        </w:rPr>
        <w:t>（十四）崩塌：石崖、土崖、岩石受自然风化、雨蚀造成崩溃下塌，以及大量积雪在重力作用下从高处突然崩塌滚落。</w:t>
      </w:r>
    </w:p>
    <w:p>
      <w:pPr>
        <w:spacing w:after="120" w:afterLines="50"/>
        <w:ind w:firstLine="420" w:firstLineChars="200"/>
        <w:rPr>
          <w:rFonts w:ascii="宋体" w:hAnsi="宋体" w:cs="宋体"/>
          <w:szCs w:val="21"/>
        </w:rPr>
      </w:pPr>
      <w:r>
        <w:rPr>
          <w:rFonts w:hint="eastAsia" w:ascii="宋体" w:hAnsi="宋体" w:cs="宋体"/>
          <w:szCs w:val="21"/>
        </w:rPr>
        <w:t>（十五）泥石流：由于雨水、冰雪融化等水源激发的、含有大量泥沙石块的特殊洪流。</w:t>
      </w:r>
    </w:p>
    <w:p>
      <w:pPr>
        <w:spacing w:after="120" w:afterLines="50"/>
        <w:ind w:firstLine="380" w:firstLineChars="181"/>
        <w:rPr>
          <w:rFonts w:ascii="宋体" w:hAnsi="宋体" w:cs="宋体"/>
          <w:szCs w:val="21"/>
        </w:rPr>
      </w:pPr>
      <w:r>
        <w:rPr>
          <w:rFonts w:hint="eastAsia" w:ascii="宋体" w:hAnsi="宋体" w:cs="宋体"/>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after="120" w:afterLines="50"/>
        <w:ind w:firstLine="420" w:firstLineChars="200"/>
        <w:rPr>
          <w:rFonts w:ascii="宋体" w:hAnsi="宋体" w:cs="宋体"/>
          <w:szCs w:val="21"/>
        </w:rPr>
      </w:pPr>
      <w:r>
        <w:rPr>
          <w:rFonts w:hint="eastAsia" w:ascii="宋体" w:hAnsi="宋体" w:cs="宋体"/>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pPr>
        <w:spacing w:after="120" w:afterLines="50"/>
        <w:ind w:firstLine="420" w:firstLineChars="200"/>
        <w:rPr>
          <w:rFonts w:ascii="宋体" w:hAnsi="宋体" w:cs="宋体"/>
          <w:szCs w:val="21"/>
        </w:rPr>
      </w:pPr>
      <w:r>
        <w:rPr>
          <w:rFonts w:hint="eastAsia" w:ascii="宋体" w:hAnsi="宋体" w:cs="宋体"/>
          <w:szCs w:val="21"/>
        </w:rPr>
        <w:t>（十八）自然灾害：指雷击、暴雨、洪水、暴风、龙卷风、冰雹、台风、飓风、沙尘暴、暴雪、冰凌、突发性滑坡、崩塌、泥石流、地面突然下陷下沉及其他人力不可抗拒的破坏力强大的自然现象。</w:t>
      </w:r>
    </w:p>
    <w:p>
      <w:pPr>
        <w:spacing w:after="120" w:afterLines="50"/>
        <w:ind w:firstLine="420" w:firstLineChars="200"/>
        <w:rPr>
          <w:rFonts w:ascii="宋体" w:hAnsi="宋体" w:cs="宋体"/>
          <w:szCs w:val="21"/>
        </w:rPr>
      </w:pPr>
      <w:r>
        <w:rPr>
          <w:rFonts w:hint="eastAsia" w:ascii="宋体" w:hAnsi="宋体" w:cs="宋体"/>
          <w:szCs w:val="21"/>
        </w:rPr>
        <w:t>（十九）意外事故：指不可预料的以及被保险人无法控制并造成物质损失的突发性事件，包括火灾和爆炸。</w:t>
      </w:r>
    </w:p>
    <w:p>
      <w:pPr>
        <w:spacing w:after="120" w:afterLines="50"/>
        <w:ind w:firstLine="420" w:firstLineChars="200"/>
        <w:rPr>
          <w:rFonts w:ascii="宋体" w:hAnsi="宋体" w:cs="宋体"/>
          <w:szCs w:val="21"/>
        </w:rPr>
      </w:pPr>
      <w:r>
        <w:rPr>
          <w:rFonts w:hint="eastAsia" w:ascii="宋体" w:hAnsi="宋体" w:cs="宋体"/>
          <w:szCs w:val="21"/>
        </w:rPr>
        <w:t>（二十）重大过失行为：指行为人不但没有遵守法律规范对其较高要求，甚至连人们都应当注意并能注意的一般标准也未达到的行为。</w:t>
      </w:r>
    </w:p>
    <w:p>
      <w:pPr>
        <w:spacing w:after="120" w:afterLines="50"/>
        <w:ind w:firstLine="420" w:firstLineChars="200"/>
        <w:rPr>
          <w:rFonts w:ascii="宋体" w:hAnsi="宋体" w:cs="宋体"/>
          <w:szCs w:val="21"/>
        </w:rPr>
      </w:pPr>
      <w:r>
        <w:rPr>
          <w:rFonts w:hint="eastAsia" w:ascii="宋体" w:hAnsi="宋体" w:cs="宋体"/>
          <w:szCs w:val="21"/>
        </w:rPr>
        <w:t>（二十一）恐怖活动：指任何人以某一组织的名义或参与某一组织使用武力或暴力对任何政府进行恐吓或施加影响而采取的行动。</w:t>
      </w:r>
    </w:p>
    <w:p>
      <w:pPr>
        <w:spacing w:after="120" w:afterLines="50"/>
        <w:ind w:firstLine="420" w:firstLineChars="200"/>
        <w:rPr>
          <w:rFonts w:ascii="宋体" w:hAnsi="宋体" w:cs="宋体"/>
          <w:szCs w:val="21"/>
        </w:rPr>
      </w:pPr>
      <w:r>
        <w:rPr>
          <w:rFonts w:hint="eastAsia" w:ascii="宋体" w:hAnsi="宋体" w:cs="宋体"/>
          <w:szCs w:val="21"/>
        </w:rPr>
        <w:t>（二十二）地震：地壳发生的震动。</w:t>
      </w:r>
    </w:p>
    <w:p>
      <w:pPr>
        <w:spacing w:after="120" w:afterLines="50"/>
        <w:ind w:firstLine="420" w:firstLineChars="200"/>
        <w:rPr>
          <w:rFonts w:ascii="宋体" w:hAnsi="宋体" w:cs="宋体"/>
          <w:szCs w:val="21"/>
        </w:rPr>
      </w:pPr>
      <w:r>
        <w:rPr>
          <w:rFonts w:hint="eastAsia" w:ascii="宋体" w:hAnsi="宋体" w:cs="宋体"/>
          <w:szCs w:val="21"/>
        </w:rPr>
        <w:t>（二十三）海啸：海啸是指由海底地震，火山爆发或水下滑坡、塌陷所激发的海洋巨波。</w:t>
      </w:r>
    </w:p>
    <w:p>
      <w:pPr>
        <w:spacing w:after="120" w:afterLines="50"/>
        <w:ind w:firstLine="420" w:firstLineChars="200"/>
        <w:rPr>
          <w:rFonts w:ascii="宋体" w:hAnsi="宋体" w:cs="宋体"/>
          <w:szCs w:val="21"/>
        </w:rPr>
      </w:pPr>
      <w:r>
        <w:rPr>
          <w:rFonts w:hint="eastAsia" w:ascii="宋体" w:hAnsi="宋体" w:cs="宋体"/>
          <w:szCs w:val="21"/>
        </w:rPr>
        <w:t>（二十四）行政行为、司法行为：指各级政府部门、执法机关或依法履行公共管理、社会管理职能的机构下令破坏、征用、罚没保险标的的行为。</w:t>
      </w:r>
    </w:p>
    <w:p>
      <w:pPr>
        <w:spacing w:after="120" w:afterLines="50"/>
        <w:ind w:firstLine="420" w:firstLineChars="200"/>
        <w:rPr>
          <w:rFonts w:ascii="宋体" w:hAnsi="宋体" w:cs="宋体"/>
          <w:szCs w:val="21"/>
        </w:rPr>
      </w:pPr>
      <w:r>
        <w:rPr>
          <w:rFonts w:hint="eastAsia" w:ascii="宋体" w:hAnsi="宋体" w:cs="宋体"/>
          <w:szCs w:val="21"/>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pPr>
        <w:spacing w:after="120" w:afterLines="50"/>
        <w:ind w:firstLine="420" w:firstLineChars="200"/>
        <w:rPr>
          <w:rFonts w:ascii="宋体" w:hAnsi="宋体" w:cs="宋体"/>
          <w:szCs w:val="21"/>
        </w:rPr>
      </w:pPr>
      <w:r>
        <w:rPr>
          <w:rFonts w:hint="eastAsia" w:ascii="宋体" w:hAnsi="宋体" w:cs="宋体"/>
          <w:szCs w:val="21"/>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pPr>
        <w:spacing w:after="120" w:afterLines="50"/>
        <w:ind w:firstLine="420" w:firstLineChars="200"/>
        <w:rPr>
          <w:rFonts w:ascii="宋体" w:hAnsi="宋体" w:cs="宋体"/>
          <w:szCs w:val="21"/>
        </w:rPr>
      </w:pPr>
      <w:r>
        <w:rPr>
          <w:rFonts w:hint="eastAsia" w:ascii="宋体" w:hAnsi="宋体" w:cs="宋体"/>
          <w:szCs w:val="21"/>
        </w:rPr>
        <w:t>（二十七）水箱、水管爆裂：包括冻裂和意外爆裂两种情况。水箱、水管爆裂一般是由水箱、水管本身瑕疵或使用耗损或严寒结冰造成的。</w:t>
      </w:r>
    </w:p>
    <w:p>
      <w:pPr>
        <w:pStyle w:val="48"/>
        <w:autoSpaceDE w:val="0"/>
        <w:autoSpaceDN w:val="0"/>
        <w:spacing w:after="120" w:afterLines="50" w:line="240" w:lineRule="auto"/>
        <w:ind w:right="113" w:firstLine="472" w:firstLineChars="225"/>
        <w:jc w:val="both"/>
        <w:textAlignment w:val="bottom"/>
        <w:rPr>
          <w:rFonts w:hAnsi="宋体" w:cs="宋体"/>
          <w:sz w:val="21"/>
          <w:szCs w:val="21"/>
        </w:rPr>
      </w:pPr>
      <w:r>
        <w:rPr>
          <w:rFonts w:hint="eastAsia" w:hAnsi="宋体" w:cs="宋体"/>
          <w:sz w:val="21"/>
          <w:szCs w:val="21"/>
        </w:rPr>
        <w:t>（二十八）错误：指应该按规定做好的事情而没有做好；</w:t>
      </w:r>
    </w:p>
    <w:p>
      <w:pPr>
        <w:pStyle w:val="48"/>
        <w:autoSpaceDE w:val="0"/>
        <w:autoSpaceDN w:val="0"/>
        <w:spacing w:after="120" w:afterLines="50" w:line="240" w:lineRule="auto"/>
        <w:ind w:right="113" w:firstLine="472" w:firstLineChars="225"/>
        <w:jc w:val="both"/>
        <w:textAlignment w:val="bottom"/>
        <w:rPr>
          <w:rFonts w:hAnsi="宋体" w:cs="宋体"/>
          <w:sz w:val="21"/>
          <w:szCs w:val="21"/>
        </w:rPr>
      </w:pPr>
      <w:r>
        <w:rPr>
          <w:rFonts w:hint="eastAsia" w:hAnsi="宋体" w:cs="宋体"/>
          <w:sz w:val="21"/>
          <w:szCs w:val="21"/>
        </w:rPr>
        <w:t>（二十九）缺陷：指材料、设备的质量、工艺未达到国家或行业协会规定的标准。</w:t>
      </w:r>
    </w:p>
    <w:p>
      <w:pPr>
        <w:spacing w:after="120" w:afterLines="50"/>
        <w:ind w:firstLine="525" w:firstLineChars="250"/>
        <w:rPr>
          <w:rFonts w:ascii="宋体" w:hAnsi="宋体" w:cs="宋体"/>
          <w:szCs w:val="21"/>
        </w:rPr>
      </w:pPr>
      <w:r>
        <w:rPr>
          <w:rFonts w:hint="eastAsia" w:ascii="宋体" w:hAnsi="宋体" w:cs="宋体"/>
          <w:szCs w:val="21"/>
        </w:rPr>
        <w:t>（三十）离心力：是指向心力的反作用力，也称“惯性离心力”；</w:t>
      </w:r>
    </w:p>
    <w:p>
      <w:pPr>
        <w:pStyle w:val="48"/>
        <w:autoSpaceDE w:val="0"/>
        <w:autoSpaceDN w:val="0"/>
        <w:spacing w:after="120" w:afterLines="50" w:line="240" w:lineRule="auto"/>
        <w:ind w:left="113" w:leftChars="54" w:right="113" w:firstLine="472" w:firstLineChars="225"/>
        <w:jc w:val="both"/>
        <w:textAlignment w:val="bottom"/>
        <w:rPr>
          <w:rFonts w:hAnsi="宋体" w:cs="宋体"/>
          <w:sz w:val="21"/>
          <w:szCs w:val="21"/>
        </w:rPr>
      </w:pPr>
      <w:r>
        <w:rPr>
          <w:rFonts w:hint="eastAsia" w:hAnsi="宋体" w:cs="宋体"/>
          <w:sz w:val="21"/>
          <w:szCs w:val="21"/>
        </w:rPr>
        <w:t>（三十一）超负荷：指因电流超过额定数值，电器负荷电流过高，致使电器设备超过额定容量或额定功率。</w:t>
      </w:r>
    </w:p>
    <w:p>
      <w:pPr>
        <w:pStyle w:val="48"/>
        <w:autoSpaceDE w:val="0"/>
        <w:autoSpaceDN w:val="0"/>
        <w:spacing w:after="120" w:afterLines="50" w:line="240" w:lineRule="auto"/>
        <w:ind w:left="113" w:leftChars="54" w:right="113" w:firstLine="472" w:firstLineChars="225"/>
        <w:jc w:val="both"/>
        <w:textAlignment w:val="bottom"/>
        <w:rPr>
          <w:rFonts w:hAnsi="宋体" w:cs="宋体"/>
          <w:sz w:val="21"/>
          <w:szCs w:val="21"/>
        </w:rPr>
      </w:pPr>
      <w:r>
        <w:rPr>
          <w:rFonts w:hint="eastAsia" w:hAnsi="宋体" w:cs="宋体"/>
          <w:sz w:val="21"/>
          <w:szCs w:val="21"/>
        </w:rPr>
        <w:t>（三十二）电弧：指导体与导体之间产生的放电现象。</w:t>
      </w:r>
    </w:p>
    <w:p>
      <w:pPr>
        <w:pStyle w:val="48"/>
        <w:autoSpaceDE w:val="0"/>
        <w:autoSpaceDN w:val="0"/>
        <w:spacing w:after="120" w:afterLines="50" w:line="240" w:lineRule="auto"/>
        <w:ind w:left="113" w:leftChars="54" w:right="113" w:firstLine="472" w:firstLineChars="225"/>
        <w:jc w:val="both"/>
        <w:textAlignment w:val="bottom"/>
        <w:rPr>
          <w:rFonts w:hAnsi="宋体" w:cs="宋体"/>
          <w:sz w:val="21"/>
          <w:szCs w:val="21"/>
        </w:rPr>
      </w:pPr>
      <w:r>
        <w:rPr>
          <w:rFonts w:hint="eastAsia" w:hAnsi="宋体" w:cs="宋体"/>
          <w:sz w:val="21"/>
          <w:szCs w:val="21"/>
        </w:rPr>
        <w:t>（三十三）感应电：指通电导体周围造成的磁场使其它导体产生的带电现象。</w:t>
      </w:r>
    </w:p>
    <w:p>
      <w:pPr>
        <w:spacing w:after="120" w:afterLines="50"/>
        <w:rPr>
          <w:rFonts w:ascii="宋体" w:hAnsi="宋体" w:cs="宋体"/>
          <w:szCs w:val="21"/>
        </w:rPr>
      </w:pPr>
      <w:r>
        <w:rPr>
          <w:rFonts w:hint="eastAsia" w:ascii="宋体" w:hAnsi="宋体" w:cs="宋体"/>
          <w:b/>
          <w:szCs w:val="21"/>
        </w:rPr>
        <w:t>附录：</w:t>
      </w:r>
      <w:r>
        <w:rPr>
          <w:rFonts w:hint="eastAsia" w:ascii="宋体" w:hAnsi="宋体" w:cs="宋体"/>
          <w:b/>
          <w:bCs/>
          <w:szCs w:val="21"/>
        </w:rPr>
        <w:t>短期费率表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20" w:afterLines="50"/>
              <w:jc w:val="center"/>
              <w:rPr>
                <w:rFonts w:ascii="宋体" w:hAnsi="宋体" w:cs="宋体"/>
                <w:szCs w:val="21"/>
              </w:rPr>
            </w:pPr>
            <w:r>
              <w:rPr>
                <w:rFonts w:hint="eastAsia" w:ascii="宋体" w:hAnsi="宋体" w:cs="宋体"/>
                <w:szCs w:val="21"/>
              </w:rPr>
              <w:t>保险</w:t>
            </w:r>
          </w:p>
          <w:p>
            <w:pPr>
              <w:spacing w:after="120" w:afterLines="50"/>
              <w:jc w:val="center"/>
              <w:rPr>
                <w:rFonts w:ascii="宋体" w:hAnsi="宋体" w:cs="宋体"/>
                <w:szCs w:val="21"/>
              </w:rPr>
            </w:pPr>
            <w:r>
              <w:rPr>
                <w:rFonts w:hint="eastAsia" w:ascii="宋体" w:hAnsi="宋体" w:cs="宋体"/>
                <w:szCs w:val="21"/>
              </w:rPr>
              <w:t>期间</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一</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二</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三</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四</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五</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六</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七</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八</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九</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十</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37" w:type="dxa"/>
            <w:vAlign w:val="center"/>
          </w:tcPr>
          <w:p>
            <w:pPr>
              <w:spacing w:after="120" w:afterLines="50"/>
              <w:jc w:val="center"/>
              <w:rPr>
                <w:rFonts w:ascii="宋体" w:hAnsi="宋体" w:cs="宋体"/>
                <w:szCs w:val="21"/>
              </w:rPr>
            </w:pPr>
            <w:r>
              <w:rPr>
                <w:rFonts w:hint="eastAsia" w:ascii="宋体" w:hAnsi="宋体" w:cs="宋体"/>
                <w:szCs w:val="21"/>
              </w:rPr>
              <w:t>十</w:t>
            </w:r>
          </w:p>
          <w:p>
            <w:pPr>
              <w:spacing w:after="120" w:afterLines="50"/>
              <w:jc w:val="center"/>
              <w:rPr>
                <w:rFonts w:ascii="宋体" w:hAnsi="宋体" w:cs="宋体"/>
                <w:szCs w:val="21"/>
              </w:rPr>
            </w:pPr>
            <w:r>
              <w:rPr>
                <w:rFonts w:hint="eastAsia" w:ascii="宋体" w:hAnsi="宋体" w:cs="宋体"/>
                <w:szCs w:val="21"/>
              </w:rPr>
              <w:t>一</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31" w:type="dxa"/>
            <w:vAlign w:val="center"/>
          </w:tcPr>
          <w:p>
            <w:pPr>
              <w:spacing w:after="120" w:afterLines="50"/>
              <w:jc w:val="center"/>
              <w:rPr>
                <w:rFonts w:ascii="宋体" w:hAnsi="宋体" w:cs="宋体"/>
                <w:szCs w:val="21"/>
              </w:rPr>
            </w:pPr>
            <w:r>
              <w:rPr>
                <w:rFonts w:hint="eastAsia" w:ascii="宋体" w:hAnsi="宋体" w:cs="宋体"/>
                <w:szCs w:val="21"/>
              </w:rPr>
              <w:t>十</w:t>
            </w:r>
          </w:p>
          <w:p>
            <w:pPr>
              <w:spacing w:after="120" w:afterLines="50"/>
              <w:jc w:val="center"/>
              <w:rPr>
                <w:rFonts w:ascii="宋体" w:hAnsi="宋体" w:cs="宋体"/>
                <w:szCs w:val="21"/>
              </w:rPr>
            </w:pPr>
            <w:r>
              <w:rPr>
                <w:rFonts w:hint="eastAsia" w:ascii="宋体" w:hAnsi="宋体" w:cs="宋体"/>
                <w:szCs w:val="21"/>
              </w:rPr>
              <w:t>二</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20" w:afterLines="50"/>
              <w:jc w:val="center"/>
              <w:rPr>
                <w:rFonts w:ascii="宋体" w:hAnsi="宋体" w:cs="宋体"/>
                <w:szCs w:val="21"/>
              </w:rPr>
            </w:pPr>
            <w:r>
              <w:rPr>
                <w:rFonts w:hint="eastAsia" w:ascii="宋体" w:hAnsi="宋体" w:cs="宋体"/>
                <w:szCs w:val="21"/>
              </w:rPr>
              <w:t>年费率的百分比</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10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20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30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40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50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60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70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80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85</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90</w:t>
            </w:r>
          </w:p>
        </w:tc>
        <w:tc>
          <w:tcPr>
            <w:tcW w:w="537" w:type="dxa"/>
            <w:vAlign w:val="center"/>
          </w:tcPr>
          <w:p>
            <w:pPr>
              <w:spacing w:after="120" w:afterLines="50"/>
              <w:jc w:val="center"/>
              <w:rPr>
                <w:rFonts w:ascii="宋体" w:hAnsi="宋体" w:cs="宋体"/>
                <w:szCs w:val="21"/>
              </w:rPr>
            </w:pPr>
            <w:r>
              <w:rPr>
                <w:rFonts w:hint="eastAsia" w:ascii="宋体" w:hAnsi="宋体" w:cs="宋体"/>
                <w:szCs w:val="21"/>
              </w:rPr>
              <w:t>95</w:t>
            </w:r>
          </w:p>
        </w:tc>
        <w:tc>
          <w:tcPr>
            <w:tcW w:w="531" w:type="dxa"/>
            <w:vAlign w:val="center"/>
          </w:tcPr>
          <w:p>
            <w:pPr>
              <w:spacing w:after="120" w:afterLines="50"/>
              <w:jc w:val="center"/>
              <w:rPr>
                <w:rFonts w:ascii="宋体" w:hAnsi="宋体" w:cs="宋体"/>
                <w:szCs w:val="21"/>
              </w:rPr>
            </w:pPr>
            <w:r>
              <w:rPr>
                <w:rFonts w:hint="eastAsia" w:ascii="宋体" w:hAnsi="宋体" w:cs="宋体"/>
                <w:szCs w:val="21"/>
              </w:rPr>
              <w:t>100</w:t>
            </w:r>
          </w:p>
        </w:tc>
      </w:tr>
    </w:tbl>
    <w:p>
      <w:pPr>
        <w:spacing w:after="120" w:afterLines="50"/>
        <w:rPr>
          <w:rFonts w:ascii="宋体" w:hAnsi="宋体" w:cs="宋体"/>
          <w:szCs w:val="21"/>
        </w:rPr>
      </w:pPr>
      <w:r>
        <w:rPr>
          <w:rFonts w:hint="eastAsia" w:ascii="宋体" w:hAnsi="宋体" w:cs="宋体"/>
          <w:szCs w:val="21"/>
        </w:rPr>
        <w:t>注：不足一个月的部分按一个月计收。</w:t>
      </w:r>
    </w:p>
    <w:p>
      <w:pPr>
        <w:pStyle w:val="5"/>
        <w:spacing w:before="0" w:after="0" w:line="600" w:lineRule="exact"/>
        <w:jc w:val="center"/>
        <w:rPr>
          <w:rFonts w:ascii="宋体" w:hAnsi="宋体" w:eastAsia="宋体" w:cs="宋体"/>
          <w:sz w:val="24"/>
          <w:szCs w:val="24"/>
        </w:rPr>
      </w:pPr>
    </w:p>
    <w:p>
      <w:pPr>
        <w:spacing w:line="360" w:lineRule="auto"/>
        <w:jc w:val="center"/>
        <w:rPr>
          <w:rFonts w:ascii="宋体" w:hAnsi="宋体" w:cs="宋体"/>
          <w:b/>
          <w:sz w:val="24"/>
          <w:szCs w:val="24"/>
        </w:rPr>
      </w:pPr>
      <w:r>
        <w:rPr>
          <w:rFonts w:hint="eastAsia" w:ascii="宋体" w:hAnsi="宋体" w:cs="宋体"/>
          <w:b/>
          <w:sz w:val="24"/>
          <w:szCs w:val="24"/>
        </w:rPr>
        <w:t>附加条款</w:t>
      </w:r>
    </w:p>
    <w:p>
      <w:pPr>
        <w:spacing w:line="360" w:lineRule="auto"/>
        <w:ind w:firstLine="420" w:firstLineChars="200"/>
        <w:rPr>
          <w:rFonts w:ascii="宋体" w:hAnsi="宋体" w:cs="宋体"/>
          <w:sz w:val="24"/>
          <w:szCs w:val="24"/>
        </w:rPr>
      </w:pPr>
      <w:r>
        <w:rPr>
          <w:rFonts w:hint="eastAsia" w:ascii="宋体" w:hAnsi="宋体" w:cs="宋体"/>
          <w:szCs w:val="21"/>
        </w:rPr>
        <w:t>下列特别条款适用于本保险单的各个部分，若其与本保险单的其他规定相冲突，则以下列特别条款为准。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1．传送带、链条扩展条款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兹经双方同意，尽管本保单有相反规定，保险人负责赔偿因承保风险造成传送带、链条本身的损坏或损失。</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22" w:firstLineChars="200"/>
        <w:rPr>
          <w:rFonts w:ascii="宋体" w:hAnsi="宋体" w:cs="宋体"/>
          <w:b/>
          <w:spacing w:val="4"/>
          <w:szCs w:val="21"/>
        </w:rPr>
      </w:pPr>
      <w:bookmarkStart w:id="277" w:name="_Toc175480556"/>
      <w:r>
        <w:rPr>
          <w:rFonts w:hint="eastAsia" w:ascii="宋体" w:hAnsi="宋体" w:cs="宋体"/>
          <w:b/>
          <w:color w:val="000000"/>
          <w:szCs w:val="21"/>
        </w:rPr>
        <w:t>2</w:t>
      </w:r>
      <w:r>
        <w:rPr>
          <w:rFonts w:hint="eastAsia" w:ascii="宋体" w:hAnsi="宋体" w:cs="宋体"/>
          <w:b/>
          <w:spacing w:val="4"/>
          <w:szCs w:val="21"/>
        </w:rPr>
        <w:t>．清理残骸费用扩展条款</w:t>
      </w:r>
      <w:bookmarkEnd w:id="277"/>
    </w:p>
    <w:p>
      <w:pPr>
        <w:snapToGrid w:val="0"/>
        <w:spacing w:after="120" w:afterLines="50"/>
        <w:ind w:firstLine="420" w:firstLineChars="200"/>
        <w:rPr>
          <w:rFonts w:ascii="宋体" w:hAnsi="宋体" w:cs="宋体"/>
          <w:color w:val="000000"/>
          <w:szCs w:val="21"/>
        </w:rPr>
      </w:pPr>
      <w:r>
        <w:rPr>
          <w:rFonts w:hint="eastAsia" w:ascii="宋体" w:hAnsi="宋体" w:cs="宋体"/>
          <w:bCs/>
          <w:color w:val="000000"/>
          <w:szCs w:val="21"/>
        </w:rPr>
        <w:t>经双方同意，因发生保险责任范围内的损失而产生的清除、拆除或支撑受损保险标的的费用，</w:t>
      </w:r>
      <w:r>
        <w:rPr>
          <w:rFonts w:hint="eastAsia" w:ascii="宋体" w:hAnsi="宋体" w:cs="宋体"/>
          <w:color w:val="000000"/>
          <w:szCs w:val="21"/>
        </w:rPr>
        <w:t>保险人按照本保险合同的约定负责赔偿。</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本附加险条款项下保险人的赔偿责任不超过本保险合同中载明的相应赔偿限额。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3．特别费用扩展条款</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经双方同意，发生保险责任范围内的损失，为及时修复或恢复保险标的而发生的特别费用，即加班费及快运费（但不包括空运费），保险人按照本保险合同的约定负责赔偿。</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本附加险条款项下保险人的赔偿责任不超过本保险合同中载明的相应赔偿限额。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4．空运费扩展条款</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经双方同意，发生保险责任范围内的损失，为及时修复或恢复保险标的而发生的空运费，保险人按照本保险合同的约定负责赔偿。</w:t>
      </w:r>
    </w:p>
    <w:p>
      <w:pPr>
        <w:snapToGrid w:val="0"/>
        <w:spacing w:after="120" w:afterLines="50"/>
        <w:ind w:firstLine="420" w:firstLineChars="200"/>
        <w:rPr>
          <w:rFonts w:ascii="宋体" w:hAnsi="宋体" w:cs="宋体"/>
          <w:color w:val="000000"/>
          <w:szCs w:val="21"/>
        </w:rPr>
      </w:pPr>
      <w:r>
        <w:rPr>
          <w:rFonts w:hint="eastAsia" w:ascii="宋体" w:hAnsi="宋体" w:cs="宋体"/>
          <w:bCs/>
          <w:color w:val="000000"/>
          <w:szCs w:val="21"/>
        </w:rPr>
        <w:t>本附加险条款项下保险人的赔偿责任不超过本保险合同中载明的相</w:t>
      </w:r>
      <w:r>
        <w:rPr>
          <w:rFonts w:hint="eastAsia" w:ascii="宋体" w:hAnsi="宋体" w:cs="宋体"/>
          <w:color w:val="000000"/>
          <w:szCs w:val="21"/>
        </w:rPr>
        <w:t>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5．专业费用扩展条款</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经双方同意，发生保险责任范围内的损失后，在恢复受损保险标的过程中发生的必要、合理的设计师、检验师及工程咨询人费用，保险人按照本保险合同的约定负责赔偿，但被保险人为准备索赔或估损所发生的任何费用，保险人不负责赔偿。</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保险人对上述费用的赔偿以恢复受损保险标的时有关行业管理部门的收费规定为准，但最高</w:t>
      </w:r>
      <w:r>
        <w:rPr>
          <w:rFonts w:hint="eastAsia" w:ascii="宋体" w:hAnsi="宋体" w:cs="宋体"/>
          <w:color w:val="000000"/>
          <w:szCs w:val="21"/>
        </w:rPr>
        <w:t>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pStyle w:val="28"/>
        <w:spacing w:after="120" w:afterLines="50"/>
        <w:ind w:firstLine="422" w:firstLineChars="200"/>
        <w:jc w:val="both"/>
        <w:rPr>
          <w:rFonts w:ascii="宋体" w:hAnsi="宋体" w:cs="宋体"/>
          <w:b/>
          <w:kern w:val="2"/>
          <w:sz w:val="21"/>
          <w:szCs w:val="21"/>
          <w:lang w:eastAsia="zh-CN"/>
        </w:rPr>
      </w:pPr>
      <w:r>
        <w:rPr>
          <w:rFonts w:hint="eastAsia" w:ascii="宋体" w:hAnsi="宋体" w:cs="宋体"/>
          <w:b/>
          <w:kern w:val="2"/>
          <w:sz w:val="21"/>
          <w:szCs w:val="21"/>
          <w:lang w:eastAsia="zh-CN"/>
        </w:rPr>
        <w:t>6.索赔费用条款</w:t>
      </w:r>
    </w:p>
    <w:p>
      <w:pPr>
        <w:snapToGrid w:val="0"/>
        <w:spacing w:after="120" w:afterLines="50"/>
        <w:ind w:firstLine="420" w:firstLineChars="200"/>
        <w:rPr>
          <w:rFonts w:ascii="宋体" w:hAnsi="宋体" w:cs="宋体"/>
          <w:szCs w:val="21"/>
        </w:rPr>
      </w:pPr>
      <w:r>
        <w:rPr>
          <w:rFonts w:hint="eastAsia" w:ascii="宋体" w:hAnsi="宋体" w:cs="宋体"/>
          <w:szCs w:val="21"/>
        </w:rPr>
        <w:t>本保险单明细表中列明的财产发生保险事故后，被保险人为提供索赔材料单证而支付的费用均由保险人承担。上述费用包括但不限于公安、交警、消防、气象等部门的查勘及证明费用等。</w:t>
      </w:r>
    </w:p>
    <w:p>
      <w:pPr>
        <w:pStyle w:val="14"/>
        <w:snapToGrid w:val="0"/>
        <w:spacing w:after="120" w:afterLines="50"/>
        <w:ind w:firstLine="422" w:firstLineChars="200"/>
        <w:rPr>
          <w:rFonts w:hAnsi="宋体" w:cs="宋体"/>
          <w:b/>
          <w:szCs w:val="21"/>
        </w:rPr>
      </w:pPr>
      <w:r>
        <w:rPr>
          <w:rFonts w:hint="eastAsia" w:hAnsi="宋体" w:cs="宋体"/>
          <w:b/>
          <w:szCs w:val="21"/>
        </w:rPr>
        <w:t>7.重新安装费用条款</w:t>
      </w:r>
    </w:p>
    <w:p>
      <w:pPr>
        <w:pStyle w:val="22"/>
        <w:snapToGrid w:val="0"/>
        <w:spacing w:before="0" w:beforeAutospacing="0" w:after="0" w:afterAutospacing="0"/>
        <w:ind w:firstLine="420" w:firstLineChars="200"/>
        <w:rPr>
          <w:rFonts w:ascii="宋体" w:hAnsi="宋体" w:eastAsia="宋体" w:cs="宋体"/>
          <w:kern w:val="2"/>
          <w:sz w:val="21"/>
          <w:szCs w:val="21"/>
        </w:rPr>
      </w:pPr>
      <w:r>
        <w:rPr>
          <w:rFonts w:hint="eastAsia" w:ascii="宋体" w:hAnsi="宋体" w:eastAsia="宋体" w:cs="宋体"/>
          <w:kern w:val="2"/>
          <w:sz w:val="21"/>
          <w:szCs w:val="21"/>
        </w:rPr>
        <w:t>经双方同意并约定，本保单扩展承保由于任何承保风险造成的损坏而导致的重新安装、安置机器设备的费用。但本保单项下的总赔偿金额以保险金额为限。</w:t>
      </w:r>
    </w:p>
    <w:p>
      <w:pPr>
        <w:pStyle w:val="22"/>
        <w:snapToGrid w:val="0"/>
        <w:spacing w:before="0" w:beforeAutospacing="0" w:after="0" w:afterAutospacing="0" w:line="360" w:lineRule="auto"/>
        <w:ind w:firstLine="420" w:firstLineChars="200"/>
        <w:rPr>
          <w:rFonts w:ascii="宋体" w:hAnsi="宋体" w:eastAsia="宋体" w:cs="宋体"/>
          <w:szCs w:val="21"/>
        </w:rPr>
      </w:pPr>
      <w:r>
        <w:rPr>
          <w:rFonts w:hint="eastAsia" w:ascii="宋体" w:hAnsi="宋体" w:eastAsia="宋体" w:cs="宋体"/>
          <w:kern w:val="2"/>
          <w:sz w:val="21"/>
          <w:szCs w:val="21"/>
        </w:rPr>
        <w:t>本附加条款与主条款内容相悖之处，以本附加条款为准；未尽之处，以主条款为准。</w:t>
      </w:r>
    </w:p>
    <w:p>
      <w:pPr>
        <w:snapToGrid w:val="0"/>
        <w:spacing w:after="120" w:afterLines="50"/>
        <w:ind w:firstLine="438" w:firstLineChars="200"/>
        <w:rPr>
          <w:rFonts w:ascii="宋体" w:hAnsi="宋体" w:cs="宋体"/>
          <w:b/>
          <w:spacing w:val="4"/>
          <w:szCs w:val="21"/>
        </w:rPr>
      </w:pPr>
      <w:bookmarkStart w:id="278" w:name="_Toc175480555"/>
      <w:r>
        <w:rPr>
          <w:rFonts w:hint="eastAsia" w:ascii="宋体" w:hAnsi="宋体" w:cs="宋体"/>
          <w:b/>
          <w:spacing w:val="4"/>
          <w:szCs w:val="21"/>
        </w:rPr>
        <w:t>8．临时保护措施扩展条款</w:t>
      </w:r>
      <w:bookmarkEnd w:id="278"/>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经双方同意，由于对受损保险标的进行合理的临时或永久性的修理、保护而产生的必要费用，保险人按照本保险合同的约定负责赔偿,</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但上述费用仅限于为防止受损保险标的遭受进一步损失所进行的修理、保护而产生的费用。</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本附加险条款项下保险人的赔偿责任不超过本保险合同中载明的相应赔偿限额。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79" w:name="_Toc175480576"/>
      <w:r>
        <w:rPr>
          <w:rFonts w:hint="eastAsia" w:ascii="宋体" w:hAnsi="宋体" w:cs="宋体"/>
          <w:b/>
          <w:bCs/>
          <w:spacing w:val="4"/>
          <w:szCs w:val="21"/>
        </w:rPr>
        <w:t>9．错误和遗漏条款</w:t>
      </w:r>
      <w:bookmarkEnd w:id="279"/>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投保人、被保险人向保险人告知或通知保险标的所占用的场地或价值的变更、保险标的危险程度增加或其他重要事项过程中因过失存在延迟、错误或遗漏的，被保险人在本保险合同项下的权益不受影响。但投保人、被保险人一旦发现其延迟、错误或遗漏，应立即通知保险人上述事项，并支付从风险增加之日起至保险期间届满之日止期间可能的额外保险费，否则保险人不承担保险责任。</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0" w:name="_Toc175480578"/>
      <w:r>
        <w:rPr>
          <w:rFonts w:hint="eastAsia" w:ascii="宋体" w:hAnsi="宋体" w:cs="宋体"/>
          <w:b/>
          <w:bCs/>
          <w:spacing w:val="4"/>
          <w:szCs w:val="21"/>
        </w:rPr>
        <w:t>10．不使失效条款</w:t>
      </w:r>
      <w:bookmarkEnd w:id="280"/>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在投保人、被保险人完全不知情的情况下，本保险合同不因保险标的所占用场地或价值的变更、保险标的危险程度的增加或其他重要事项的变化而失效。但投保人、被保险人一旦知道该情况，应立即通知保险人，并支付从风险增加之日起至保险期间届满之日止期间可能的额外保险费，否则保险人不承担保险责任。</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1" w:name="_Toc175480577"/>
      <w:r>
        <w:rPr>
          <w:rFonts w:hint="eastAsia" w:ascii="宋体" w:hAnsi="宋体" w:cs="宋体"/>
          <w:b/>
          <w:bCs/>
          <w:spacing w:val="4"/>
          <w:szCs w:val="21"/>
        </w:rPr>
        <w:t>11．不受控制条款</w:t>
      </w:r>
      <w:bookmarkEnd w:id="281"/>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经双方同意，被保险人在无法控制或不存在过错的情况下违反本保险合同的条件和保证，本保险合同的保障不受影响。</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12．放弃代位追偿扩展条款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经双方同意，保险人同意放弃对下列各方可能拥有的代位请求赔偿的权利：</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（一）被保险人的关联或联营公司；</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（二）被保险人的子公司或控股公司；</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（三）被保险人的董事、合伙人；</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（四）被保险人的雇员。</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但上述各方的故意行为造成保险事故的，保险人保留代位请求赔偿的权利。</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2" w:name="_Toc175480594"/>
      <w:r>
        <w:rPr>
          <w:rFonts w:hint="eastAsia" w:ascii="宋体" w:hAnsi="宋体" w:cs="宋体"/>
          <w:b/>
          <w:bCs/>
          <w:spacing w:val="4"/>
          <w:szCs w:val="21"/>
        </w:rPr>
        <w:t>13．保单注销条款</w:t>
      </w:r>
      <w:bookmarkEnd w:id="282"/>
      <w:r>
        <w:rPr>
          <w:rFonts w:hint="eastAsia" w:ascii="宋体" w:hAnsi="宋体" w:cs="宋体"/>
          <w:b/>
          <w:bCs/>
          <w:spacing w:val="4"/>
          <w:szCs w:val="21"/>
        </w:rPr>
        <w:t>（90天）</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兹经双方同意，保险人可提前九十天书面通知被保险人注销本保险单，对未到期的保险费保险人应按日比例退回给被保险人。</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被保险人可随时书面申请注销本保险单，对本保险单已生效期间的保险费按日比例计收。</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r>
        <w:rPr>
          <w:rFonts w:hint="eastAsia" w:ascii="宋体" w:hAnsi="宋体" w:cs="宋体"/>
          <w:b/>
          <w:bCs/>
          <w:spacing w:val="4"/>
          <w:szCs w:val="21"/>
        </w:rPr>
        <w:t>14.重置价值条款</w:t>
      </w:r>
    </w:p>
    <w:p>
      <w:pPr>
        <w:autoSpaceDE w:val="0"/>
        <w:autoSpaceDN w:val="0"/>
        <w:adjustRightInd w:val="0"/>
        <w:snapToGrid w:val="0"/>
        <w:spacing w:line="360" w:lineRule="auto"/>
        <w:ind w:firstLine="420" w:firstLineChars="200"/>
        <w:rPr>
          <w:rFonts w:ascii="宋体" w:hAnsi="宋体" w:cs="宋体"/>
          <w:szCs w:val="21"/>
        </w:rPr>
      </w:pPr>
      <w:bookmarkStart w:id="283" w:name="_Toc175480585"/>
      <w:r>
        <w:rPr>
          <w:rFonts w:hint="eastAsia" w:ascii="宋体" w:hAnsi="宋体" w:cs="宋体"/>
          <w:szCs w:val="21"/>
        </w:rPr>
        <w:t>经双方同意，若投保人与保险人约定保险价值为出险时的重置价值，则适用下列约定：</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（一）发生保险事故后，被保险人应对受损保险标的进行重置。</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重置是指：</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1、替换、重建保险标的；</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2、修理、修复保险标的。</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无论采用上述哪一种方式，目的是使保险标的的受损部分经过重置后达到其全新时的状态。</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（二）若遇下列情况，保险价值变更为出险时的市场价值：</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1、被保险人没有合理的原因和理由而推迟、延误重置工作；</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2、被保险人没有对受损保险标的进行重置；</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3、发生损失时，若存在重复保险且其他保险合同没有按重置价值承保。</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本附加条款与主条款内容相悖之处，以本附加条款为准；未尽之处，以主条款为准。</w:t>
      </w:r>
    </w:p>
    <w:p>
      <w:pPr>
        <w:snapToGrid w:val="0"/>
        <w:spacing w:after="120" w:afterLines="50"/>
        <w:ind w:firstLine="438" w:firstLineChars="200"/>
        <w:rPr>
          <w:rFonts w:ascii="宋体" w:hAnsi="宋体" w:cs="宋体"/>
          <w:b/>
          <w:bCs/>
          <w:spacing w:val="4"/>
          <w:szCs w:val="21"/>
        </w:rPr>
      </w:pPr>
      <w:r>
        <w:rPr>
          <w:rFonts w:hint="eastAsia" w:ascii="宋体" w:hAnsi="宋体" w:cs="宋体"/>
          <w:b/>
          <w:bCs/>
          <w:spacing w:val="4"/>
          <w:szCs w:val="21"/>
        </w:rPr>
        <w:t>15．预付赔款条款</w:t>
      </w:r>
      <w:bookmarkEnd w:id="283"/>
    </w:p>
    <w:p>
      <w:pPr>
        <w:snapToGrid w:val="0"/>
        <w:spacing w:after="120" w:afterLines="50"/>
        <w:ind w:firstLine="420" w:firstLineChars="200"/>
        <w:rPr>
          <w:rFonts w:ascii="宋体" w:hAnsi="宋体" w:cs="宋体"/>
          <w:color w:val="000000"/>
          <w:szCs w:val="21"/>
          <w:lang w:val="zh-TW" w:eastAsia="zh-TW"/>
        </w:rPr>
      </w:pPr>
      <w:r>
        <w:rPr>
          <w:rFonts w:hint="eastAsia" w:ascii="宋体" w:hAnsi="宋体" w:cs="宋体"/>
          <w:color w:val="000000"/>
          <w:szCs w:val="21"/>
          <w:lang w:val="zh-TW" w:eastAsia="zh-TW"/>
        </w:rPr>
        <w:t>发生重大保险事故（估损金额超过</w:t>
      </w:r>
      <w:r>
        <w:rPr>
          <w:rFonts w:hint="eastAsia" w:ascii="宋体" w:hAnsi="宋体" w:cs="宋体"/>
          <w:color w:val="000000"/>
          <w:szCs w:val="21"/>
          <w:lang w:val="zh-TW"/>
        </w:rPr>
        <w:t>人民币</w:t>
      </w:r>
      <w:r>
        <w:rPr>
          <w:rFonts w:hint="eastAsia" w:ascii="宋体" w:hAnsi="宋体" w:cs="宋体"/>
          <w:color w:val="000000"/>
          <w:szCs w:val="21"/>
        </w:rPr>
        <w:t>500万元</w:t>
      </w:r>
      <w:r>
        <w:rPr>
          <w:rFonts w:hint="eastAsia" w:ascii="宋体" w:hAnsi="宋体" w:cs="宋体"/>
          <w:color w:val="000000"/>
          <w:szCs w:val="21"/>
          <w:lang w:val="zh-TW" w:eastAsia="zh-TW"/>
        </w:rPr>
        <w:t>）后，在保险责任明确但损失金额尚不能确定的情况下，保险人应在接到被保险人书面申请后</w:t>
      </w:r>
      <w:r>
        <w:rPr>
          <w:rFonts w:hint="eastAsia" w:ascii="宋体" w:hAnsi="宋体" w:cs="宋体"/>
          <w:color w:val="000000"/>
          <w:szCs w:val="21"/>
        </w:rPr>
        <w:t>5</w:t>
      </w:r>
      <w:r>
        <w:rPr>
          <w:rFonts w:hint="eastAsia" w:ascii="宋体" w:hAnsi="宋体" w:cs="宋体"/>
          <w:color w:val="000000"/>
          <w:szCs w:val="21"/>
          <w:lang w:val="zh-TW" w:eastAsia="zh-TW"/>
        </w:rPr>
        <w:t>个工作日内按估损金额的50%预付赔款。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16．共保条款</w:t>
      </w:r>
    </w:p>
    <w:p>
      <w:pPr>
        <w:pStyle w:val="8"/>
        <w:snapToGrid w:val="0"/>
        <w:spacing w:after="120" w:afterLines="50"/>
        <w:ind w:firstLineChars="200"/>
        <w:rPr>
          <w:rFonts w:ascii="宋体" w:hAnsi="宋体" w:cs="宋体"/>
          <w:color w:val="000000"/>
          <w:kern w:val="2"/>
          <w:szCs w:val="21"/>
        </w:rPr>
      </w:pPr>
      <w:r>
        <w:rPr>
          <w:rFonts w:hint="eastAsia" w:ascii="宋体" w:hAnsi="宋体" w:cs="宋体"/>
          <w:color w:val="000000"/>
          <w:kern w:val="2"/>
          <w:szCs w:val="21"/>
        </w:rPr>
        <w:t>兹经双方同意，发生保险责任范围内的损失，若保险金额达到保险价值的</w:t>
      </w:r>
      <w:r>
        <w:rPr>
          <w:rFonts w:hint="eastAsia" w:ascii="宋体" w:hAnsi="宋体" w:cs="宋体"/>
          <w:color w:val="000000"/>
          <w:kern w:val="2"/>
          <w:szCs w:val="21"/>
          <w:u w:val="single"/>
        </w:rPr>
        <w:t>85</w:t>
      </w:r>
      <w:r>
        <w:rPr>
          <w:rFonts w:hint="eastAsia" w:ascii="宋体" w:hAnsi="宋体" w:cs="宋体"/>
          <w:color w:val="000000"/>
          <w:kern w:val="2"/>
          <w:szCs w:val="21"/>
        </w:rPr>
        <w:t>%，保险人在保险金额以内按实际损失计算赔偿；若保险金额不足保险价值的</w:t>
      </w:r>
      <w:r>
        <w:rPr>
          <w:rFonts w:hint="eastAsia" w:ascii="宋体" w:hAnsi="宋体" w:cs="宋体"/>
          <w:color w:val="000000"/>
          <w:kern w:val="2"/>
          <w:szCs w:val="21"/>
          <w:u w:val="single"/>
        </w:rPr>
        <w:t>85</w:t>
      </w:r>
      <w:r>
        <w:rPr>
          <w:rFonts w:hint="eastAsia" w:ascii="宋体" w:hAnsi="宋体" w:cs="宋体"/>
          <w:color w:val="000000"/>
          <w:kern w:val="2"/>
          <w:szCs w:val="21"/>
        </w:rPr>
        <w:t>%，保险人按保险金额与保险价值的比例计算赔偿。本保险合同所列标的不止一项时，应分项按照本附加险条款约定计算赔偿。</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22" w:firstLineChars="200"/>
        <w:rPr>
          <w:rFonts w:ascii="宋体" w:hAnsi="宋体" w:cs="宋体"/>
          <w:b/>
          <w:color w:val="000000"/>
          <w:szCs w:val="21"/>
          <w:lang w:bidi="he-IL"/>
        </w:rPr>
      </w:pPr>
      <w:r>
        <w:rPr>
          <w:rFonts w:hint="eastAsia" w:ascii="宋体" w:hAnsi="宋体" w:cs="宋体"/>
          <w:b/>
          <w:color w:val="000000"/>
          <w:szCs w:val="21"/>
          <w:lang w:bidi="he-IL"/>
        </w:rPr>
        <w:t>17.指定公估人条款</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经双方同意，当发生保险责任范围内的损失，估损金额超过本保险合同中载明的相应金额RMB20万时，可以同意指定中衡保险公估股份有限公司或上海恒量保险公估有限公司或双方认可的有合法执业资格的机构作为公估人，公估费用由保险人承担。</w:t>
      </w:r>
    </w:p>
    <w:p>
      <w:pPr>
        <w:adjustRightInd w:val="0"/>
        <w:snapToGrid w:val="0"/>
        <w:spacing w:line="360" w:lineRule="auto"/>
        <w:ind w:firstLine="420" w:firstLineChars="200"/>
        <w:rPr>
          <w:rFonts w:ascii="宋体" w:hAnsi="宋体" w:cs="宋体"/>
          <w:color w:val="000000"/>
          <w:szCs w:val="21"/>
          <w:lang w:bidi="he-IL"/>
        </w:rPr>
      </w:pPr>
      <w:r>
        <w:rPr>
          <w:rFonts w:hint="eastAsia" w:ascii="宋体" w:hAnsi="宋体" w:cs="宋体"/>
          <w:bCs/>
          <w:szCs w:val="21"/>
        </w:rPr>
        <w:t>本附加条款与主条款内容相悖之处，以本附加条款为准；未尽之处，以主条款为准。</w:t>
      </w:r>
    </w:p>
    <w:p>
      <w:pPr>
        <w:snapToGrid w:val="0"/>
        <w:spacing w:after="120" w:afterLines="50"/>
        <w:ind w:firstLine="438" w:firstLineChars="200"/>
        <w:rPr>
          <w:rFonts w:ascii="宋体" w:hAnsi="宋体" w:cs="宋体"/>
          <w:b/>
          <w:bCs/>
          <w:spacing w:val="4"/>
          <w:szCs w:val="21"/>
        </w:rPr>
      </w:pPr>
      <w:bookmarkStart w:id="284" w:name="_Toc175480580"/>
      <w:r>
        <w:rPr>
          <w:rFonts w:hint="eastAsia" w:ascii="宋体" w:hAnsi="宋体" w:cs="宋体"/>
          <w:b/>
          <w:bCs/>
          <w:spacing w:val="4"/>
          <w:szCs w:val="21"/>
        </w:rPr>
        <w:t>18．成对或成套设备条款</w:t>
      </w:r>
      <w:bookmarkEnd w:id="284"/>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本保险合同项下承保的属于成对或成套的机器设备的组件发生损失时，保险人按受损组件的价值在所属整对或整套设备中所占的合理比例计算赔偿；但若修理或替换受损组件均不能使该成对或成套设备恢复到同类设备基本相同的使用状况的，保险人按受损组件所属整对或整套设备的全部价值计算赔偿。</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5" w:name="_Toc175480575"/>
      <w:r>
        <w:rPr>
          <w:rFonts w:hint="eastAsia" w:ascii="宋体" w:hAnsi="宋体" w:cs="宋体"/>
          <w:b/>
          <w:bCs/>
          <w:spacing w:val="4"/>
          <w:szCs w:val="21"/>
        </w:rPr>
        <w:t>19．自动恢复保险金额条款</w:t>
      </w:r>
      <w:bookmarkEnd w:id="285"/>
    </w:p>
    <w:p>
      <w:pPr>
        <w:pStyle w:val="2"/>
        <w:snapToGrid w:val="0"/>
        <w:spacing w:afterLines="50"/>
        <w:ind w:firstLine="420" w:firstLineChars="200"/>
        <w:rPr>
          <w:rFonts w:ascii="宋体" w:hAnsi="宋体" w:cs="宋体"/>
          <w:szCs w:val="21"/>
        </w:rPr>
      </w:pPr>
      <w:r>
        <w:rPr>
          <w:rFonts w:hint="eastAsia" w:ascii="宋体" w:hAnsi="宋体" w:cs="宋体"/>
          <w:szCs w:val="21"/>
        </w:rPr>
        <w:t>经双方同意，发生保险责任范围内的损失时，各项受损保险标的的保险金额自动恢复，但投保人应按日比例支付保额恢复部分自损失发生之日起至本保险合同保险期间届满之日止期间的保险费。</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6" w:name="_Toc175480587"/>
      <w:r>
        <w:rPr>
          <w:rFonts w:hint="eastAsia" w:ascii="宋体" w:hAnsi="宋体" w:cs="宋体"/>
          <w:b/>
          <w:bCs/>
          <w:spacing w:val="4"/>
          <w:szCs w:val="21"/>
        </w:rPr>
        <w:t>20．紧急抢险条款</w:t>
      </w:r>
      <w:bookmarkEnd w:id="286"/>
    </w:p>
    <w:p>
      <w:pPr>
        <w:pStyle w:val="19"/>
        <w:snapToGrid w:val="0"/>
        <w:spacing w:afterLines="50"/>
        <w:ind w:left="0" w:leftChars="0" w:firstLine="420" w:firstLineChars="200"/>
        <w:rPr>
          <w:rFonts w:ascii="宋体" w:hAnsi="宋体" w:cs="宋体"/>
          <w:sz w:val="21"/>
          <w:szCs w:val="21"/>
        </w:rPr>
      </w:pPr>
      <w:r>
        <w:rPr>
          <w:rFonts w:hint="eastAsia" w:ascii="宋体" w:hAnsi="宋体" w:cs="宋体"/>
          <w:sz w:val="21"/>
          <w:szCs w:val="21"/>
        </w:rPr>
        <w:t>经双方同意，保险事故发生后，如保险人在接到被保险人出险通知两小时内未到达事故现场，且对紧急抢险措施未提出反对意见，被保险人可按照规范要求以及生产与安全需要，立即组织抢险、抢修工作，但被保险人应认真做好相关记录，并在条件许可时对第一现场情况进行拍照或录像。</w:t>
      </w:r>
    </w:p>
    <w:p>
      <w:pPr>
        <w:pStyle w:val="19"/>
        <w:snapToGrid w:val="0"/>
        <w:spacing w:afterLines="50"/>
        <w:ind w:left="0" w:leftChars="0" w:firstLine="420" w:firstLineChars="200"/>
        <w:rPr>
          <w:rFonts w:ascii="宋体" w:hAnsi="宋体" w:cs="宋体"/>
          <w:sz w:val="21"/>
          <w:szCs w:val="21"/>
        </w:rPr>
      </w:pPr>
      <w:r>
        <w:rPr>
          <w:rFonts w:hint="eastAsia" w:ascii="宋体" w:hAnsi="宋体" w:cs="宋体"/>
          <w:sz w:val="21"/>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21．增加资产扩展条款</w:t>
      </w:r>
    </w:p>
    <w:p>
      <w:pPr>
        <w:tabs>
          <w:tab w:val="left" w:pos="480"/>
        </w:tabs>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经双方同意，本保险合同生效后，被保险人在中华人民共和国境内（不包括香港、澳门、台湾）新增加的资产，但不包括财产本身的升值及存货，保险人按照本保险合同的约定承担保险责任，</w:t>
      </w:r>
      <w:r>
        <w:rPr>
          <w:rFonts w:hint="eastAsia" w:ascii="宋体" w:hAnsi="宋体" w:cs="宋体"/>
          <w:color w:val="000000"/>
          <w:szCs w:val="21"/>
          <w:lang w:val="zh-TW" w:bidi="he-IL"/>
        </w:rPr>
        <w:t>增加的金额以不超过本保险合同中约定的相应限额。</w:t>
      </w:r>
      <w:r>
        <w:rPr>
          <w:rFonts w:hint="eastAsia" w:ascii="宋体" w:hAnsi="宋体" w:cs="宋体"/>
          <w:color w:val="000000"/>
          <w:szCs w:val="21"/>
          <w:lang w:bidi="he-IL"/>
        </w:rPr>
        <w:t>被保险人应每季度申报增加的财产价值，。超过本合同载明的限额部分，被保险人自新增保障开始日起应按日比例进行缴纳保费。</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bCs/>
          <w:spacing w:val="4"/>
          <w:szCs w:val="21"/>
        </w:rPr>
      </w:pPr>
      <w:r>
        <w:rPr>
          <w:rFonts w:hint="eastAsia" w:ascii="宋体" w:hAnsi="宋体" w:cs="宋体"/>
          <w:b/>
          <w:bCs/>
          <w:spacing w:val="4"/>
          <w:szCs w:val="21"/>
        </w:rPr>
        <w:t>22．自动承保条款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兹经双方同意，本保险将自动承保新置地点之财产，且被保险人应在获得上述财产的90天内书面通知保险人，并按日比例支付附加保险费。</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22" w:firstLineChars="200"/>
        <w:rPr>
          <w:rFonts w:ascii="宋体" w:hAnsi="宋体" w:cs="宋体"/>
          <w:b/>
          <w:szCs w:val="21"/>
        </w:rPr>
      </w:pPr>
      <w:r>
        <w:rPr>
          <w:rFonts w:hint="eastAsia" w:ascii="宋体" w:hAnsi="宋体" w:cs="宋体"/>
          <w:b/>
          <w:szCs w:val="21"/>
        </w:rPr>
        <w:t>23.试车条款/调试条款</w:t>
      </w:r>
    </w:p>
    <w:p>
      <w:pPr>
        <w:snapToGrid w:val="0"/>
        <w:spacing w:after="120" w:afterLines="50"/>
        <w:ind w:firstLine="420" w:firstLineChars="200"/>
        <w:rPr>
          <w:rFonts w:ascii="宋体" w:hAnsi="宋体" w:cs="宋体"/>
          <w:szCs w:val="21"/>
        </w:rPr>
      </w:pPr>
      <w:r>
        <w:rPr>
          <w:rFonts w:hint="eastAsia" w:ascii="宋体" w:hAnsi="宋体" w:cs="宋体"/>
          <w:szCs w:val="21"/>
        </w:rPr>
        <w:t>本保险单扩展承保机器设备的试车，但为期不超过四个星期（由第一次试车开始起计）。对部分投入使用或交接完毕的机器，保险责任即告终止。对于为投入使用或交接的只要不超过规定外的期限，保险仍然有效。</w:t>
      </w:r>
    </w:p>
    <w:p>
      <w:pPr>
        <w:snapToGrid w:val="0"/>
        <w:spacing w:after="120" w:afterLines="50"/>
        <w:ind w:firstLine="422" w:firstLineChars="200"/>
        <w:rPr>
          <w:rFonts w:ascii="宋体" w:hAnsi="宋体" w:cs="宋体"/>
          <w:b/>
          <w:szCs w:val="21"/>
        </w:rPr>
      </w:pPr>
      <w:r>
        <w:rPr>
          <w:rFonts w:hint="eastAsia" w:ascii="宋体" w:hAnsi="宋体" w:cs="宋体"/>
          <w:b/>
          <w:szCs w:val="21"/>
        </w:rPr>
        <w:t>24.检修扩展条款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lang w:val="zh-TW" w:eastAsia="zh-TW"/>
        </w:rPr>
        <w:t>经双方同意，本保险合同扩展承保被保险财产在工作或停机状态下，以清洗、大修或检修为目的拆卸，或在上述操作的过程中，或在随后的重新安装、试车、调试过程中因承保风险所造成的被保险财产的损失。</w:t>
      </w:r>
    </w:p>
    <w:p>
      <w:pPr>
        <w:rPr>
          <w:rFonts w:ascii="宋体" w:hAnsi="宋体" w:cs="宋体"/>
        </w:rPr>
      </w:pPr>
      <w:r>
        <w:rPr>
          <w:rFonts w:hint="eastAsia" w:ascii="宋体" w:hAnsi="宋体" w:cs="宋体"/>
          <w:color w:val="000000"/>
          <w:szCs w:val="21"/>
          <w:lang w:val="zh-TW" w:eastAsia="zh-TW"/>
        </w:rPr>
        <w:t>本附加条款与主条款内容相悖之处，以本附加条款为准；未尽之处，以主条款为准。</w:t>
      </w:r>
    </w:p>
    <w:p>
      <w:pPr>
        <w:rPr>
          <w:rFonts w:ascii="宋体" w:hAnsi="宋体" w:cs="宋体"/>
          <w:sz w:val="28"/>
          <w:szCs w:val="28"/>
        </w:rPr>
      </w:pPr>
      <w:bookmarkStart w:id="287" w:name="_Toc5858"/>
      <w:bookmarkStart w:id="288" w:name="_Toc15462"/>
      <w:bookmarkStart w:id="289" w:name="_Toc838"/>
      <w:bookmarkStart w:id="290" w:name="_Toc72"/>
      <w:bookmarkStart w:id="291" w:name="_Toc18635"/>
      <w:r>
        <w:rPr>
          <w:rFonts w:hint="eastAsia" w:ascii="宋体" w:hAnsi="宋体" w:cs="宋体"/>
          <w:sz w:val="28"/>
          <w:szCs w:val="28"/>
        </w:rPr>
        <w:br w:type="page"/>
      </w:r>
    </w:p>
    <w:p>
      <w:pPr>
        <w:pStyle w:val="6"/>
        <w:snapToGrid w:val="0"/>
        <w:spacing w:before="120" w:after="120" w:line="360" w:lineRule="auto"/>
        <w:jc w:val="left"/>
        <w:rPr>
          <w:rFonts w:ascii="宋体" w:hAnsi="宋体" w:cs="宋体"/>
          <w:sz w:val="28"/>
          <w:szCs w:val="28"/>
        </w:rPr>
      </w:pPr>
      <w:r>
        <w:rPr>
          <w:rFonts w:hint="eastAsia" w:ascii="宋体" w:hAnsi="宋体" w:cs="宋体"/>
          <w:sz w:val="28"/>
          <w:szCs w:val="28"/>
        </w:rPr>
        <w:t>第二节 保险协议（样本）</w:t>
      </w:r>
      <w:bookmarkEnd w:id="287"/>
      <w:bookmarkEnd w:id="288"/>
      <w:bookmarkEnd w:id="289"/>
      <w:bookmarkEnd w:id="290"/>
      <w:bookmarkEnd w:id="291"/>
    </w:p>
    <w:p>
      <w:pPr>
        <w:pStyle w:val="8"/>
        <w:snapToGrid w:val="0"/>
        <w:spacing w:line="360" w:lineRule="auto"/>
        <w:ind w:firstLine="0"/>
        <w:rPr>
          <w:rFonts w:ascii="宋体" w:hAnsi="宋体" w:cs="宋体"/>
          <w:b/>
          <w:sz w:val="24"/>
          <w:szCs w:val="24"/>
          <w:u w:val="single"/>
        </w:rPr>
      </w:pPr>
      <w:r>
        <w:rPr>
          <w:rFonts w:hint="eastAsia" w:ascii="宋体" w:hAnsi="宋体" w:cs="宋体"/>
          <w:b/>
          <w:sz w:val="24"/>
          <w:szCs w:val="24"/>
          <w:u w:val="single"/>
        </w:rPr>
        <w:t>说明：1.本协议为样本，仅供参考，将根据最终保险谈判结果所确定的保险服务、承保公司数量等内容予以调整。</w:t>
      </w:r>
    </w:p>
    <w:p>
      <w:pPr>
        <w:pStyle w:val="8"/>
        <w:numPr>
          <w:ilvl w:val="0"/>
          <w:numId w:val="6"/>
        </w:numPr>
        <w:snapToGrid w:val="0"/>
        <w:spacing w:line="360" w:lineRule="auto"/>
        <w:ind w:firstLine="0"/>
        <w:rPr>
          <w:rFonts w:ascii="宋体" w:hAnsi="宋体" w:cs="宋体"/>
          <w:b/>
          <w:sz w:val="24"/>
          <w:szCs w:val="24"/>
          <w:u w:val="single"/>
        </w:rPr>
      </w:pPr>
      <w:r>
        <w:rPr>
          <w:rFonts w:hint="eastAsia" w:ascii="宋体" w:hAnsi="宋体" w:cs="宋体"/>
          <w:b/>
          <w:sz w:val="24"/>
          <w:szCs w:val="24"/>
          <w:u w:val="single"/>
        </w:rPr>
        <w:t>本协议样本含有保险服务基本要求，请投标人参考相关内容编制投标文件，本协议中保险人具体数量将根据投标报价及保险谈判情况确定。</w:t>
      </w:r>
    </w:p>
    <w:p>
      <w:pPr>
        <w:pStyle w:val="8"/>
        <w:numPr>
          <w:ilvl w:val="0"/>
          <w:numId w:val="6"/>
        </w:numPr>
        <w:snapToGrid w:val="0"/>
        <w:spacing w:line="360" w:lineRule="auto"/>
        <w:ind w:firstLine="0"/>
        <w:rPr>
          <w:rFonts w:ascii="宋体" w:hAnsi="宋体" w:cs="宋体"/>
          <w:b/>
          <w:sz w:val="24"/>
          <w:szCs w:val="24"/>
          <w:u w:val="single"/>
        </w:rPr>
      </w:pPr>
      <w:r>
        <w:rPr>
          <w:rFonts w:hint="eastAsia" w:ascii="宋体" w:hAnsi="宋体" w:cs="宋体"/>
          <w:b/>
          <w:sz w:val="24"/>
          <w:szCs w:val="24"/>
          <w:u w:val="single"/>
        </w:rPr>
        <w:t>本项目独家承保。</w:t>
      </w:r>
    </w:p>
    <w:p>
      <w:pPr>
        <w:pStyle w:val="8"/>
        <w:snapToGrid w:val="0"/>
        <w:spacing w:line="360" w:lineRule="auto"/>
        <w:ind w:firstLine="0"/>
        <w:rPr>
          <w:rFonts w:ascii="宋体" w:hAnsi="宋体" w:cs="宋体"/>
          <w:b/>
          <w:bCs/>
          <w:sz w:val="24"/>
        </w:rPr>
      </w:pPr>
    </w:p>
    <w:p>
      <w:pPr>
        <w:rPr>
          <w:rFonts w:ascii="宋体" w:hAnsi="宋体" w:cs="宋体"/>
        </w:rPr>
      </w:pPr>
    </w:p>
    <w:p>
      <w:pPr>
        <w:tabs>
          <w:tab w:val="left" w:pos="1815"/>
        </w:tabs>
        <w:spacing w:line="360" w:lineRule="auto"/>
        <w:rPr>
          <w:rFonts w:ascii="宋体" w:hAnsi="宋体" w:cs="宋体"/>
          <w:sz w:val="28"/>
        </w:rPr>
      </w:pPr>
      <w:bookmarkStart w:id="292" w:name="_Hlt124669252"/>
      <w:bookmarkEnd w:id="292"/>
      <w:r>
        <w:rPr>
          <w:rFonts w:hint="eastAsia" w:ascii="宋体" w:hAnsi="宋体" w:cs="宋体"/>
          <w:sz w:val="28"/>
        </w:rPr>
        <w:t>甲    方     ：</w:t>
      </w:r>
      <w:bookmarkStart w:id="293" w:name="_Hlt125860427"/>
      <w:bookmarkEnd w:id="293"/>
      <w:r>
        <w:rPr>
          <w:rFonts w:hint="eastAsia" w:ascii="宋体" w:hAnsi="宋体" w:cs="宋体"/>
          <w:sz w:val="28"/>
        </w:rPr>
        <w:t>江苏大生集团有限公司</w:t>
      </w:r>
    </w:p>
    <w:p>
      <w:pPr>
        <w:spacing w:line="360" w:lineRule="auto"/>
        <w:ind w:left="1960" w:hanging="1960" w:hangingChars="700"/>
        <w:rPr>
          <w:rFonts w:ascii="宋体" w:hAnsi="宋体" w:cs="宋体"/>
          <w:sz w:val="28"/>
        </w:rPr>
      </w:pPr>
      <w:r>
        <w:rPr>
          <w:rFonts w:hint="eastAsia" w:ascii="宋体" w:hAnsi="宋体" w:cs="宋体"/>
          <w:sz w:val="28"/>
        </w:rPr>
        <w:t>注册地址     ：</w:t>
      </w:r>
    </w:p>
    <w:p>
      <w:pPr>
        <w:spacing w:line="360" w:lineRule="auto"/>
        <w:ind w:left="1960" w:hanging="1960" w:hangingChars="700"/>
        <w:rPr>
          <w:rFonts w:ascii="宋体" w:hAnsi="宋体" w:cs="宋体"/>
          <w:sz w:val="28"/>
        </w:rPr>
      </w:pPr>
    </w:p>
    <w:p>
      <w:pPr>
        <w:spacing w:line="360" w:lineRule="auto"/>
        <w:rPr>
          <w:rFonts w:ascii="宋体" w:hAnsi="宋体" w:cs="宋体"/>
          <w:sz w:val="28"/>
        </w:rPr>
      </w:pPr>
      <w:r>
        <w:rPr>
          <w:rFonts w:hint="eastAsia" w:ascii="宋体" w:hAnsi="宋体" w:cs="宋体"/>
          <w:sz w:val="28"/>
        </w:rPr>
        <w:t xml:space="preserve"> 乙    方    </w:t>
      </w:r>
      <w:bookmarkStart w:id="294" w:name="_Hlt125260723"/>
      <w:bookmarkEnd w:id="294"/>
      <w:r>
        <w:rPr>
          <w:rFonts w:hint="eastAsia" w:ascii="宋体" w:hAnsi="宋体" w:cs="宋体"/>
          <w:sz w:val="28"/>
        </w:rPr>
        <w:t>：(中标单位)</w:t>
      </w:r>
    </w:p>
    <w:p>
      <w:pPr>
        <w:spacing w:line="360" w:lineRule="auto"/>
        <w:rPr>
          <w:rFonts w:ascii="宋体" w:hAnsi="宋体" w:cs="宋体"/>
          <w:sz w:val="28"/>
          <w:szCs w:val="28"/>
        </w:rPr>
      </w:pPr>
      <w:r>
        <w:rPr>
          <w:rFonts w:hint="eastAsia" w:ascii="宋体" w:hAnsi="宋体" w:cs="宋体"/>
          <w:sz w:val="28"/>
        </w:rPr>
        <w:t>注册地址</w:t>
      </w:r>
      <w:r>
        <w:rPr>
          <w:rFonts w:hint="eastAsia" w:ascii="宋体" w:hAnsi="宋体" w:cs="宋体"/>
          <w:sz w:val="28"/>
        </w:rPr>
        <w:tab/>
      </w:r>
      <w:r>
        <w:rPr>
          <w:rFonts w:hint="eastAsia" w:ascii="宋体" w:hAnsi="宋体" w:cs="宋体"/>
          <w:sz w:val="28"/>
        </w:rPr>
        <w:tab/>
      </w:r>
      <w:r>
        <w:rPr>
          <w:rFonts w:hint="eastAsia" w:ascii="宋体" w:hAnsi="宋体" w:cs="宋体"/>
          <w:sz w:val="28"/>
        </w:rPr>
        <w:t>：</w:t>
      </w:r>
    </w:p>
    <w:p>
      <w:pPr>
        <w:rPr>
          <w:rFonts w:ascii="宋体" w:hAnsi="宋体" w:cs="宋体"/>
          <w:sz w:val="28"/>
          <w:szCs w:val="28"/>
        </w:rPr>
      </w:pPr>
    </w:p>
    <w:p>
      <w:pPr>
        <w:spacing w:line="360" w:lineRule="auto"/>
        <w:ind w:firstLine="560"/>
        <w:rPr>
          <w:rFonts w:ascii="宋体" w:hAnsi="宋体" w:cs="宋体"/>
          <w:sz w:val="28"/>
        </w:rPr>
      </w:pPr>
      <w:r>
        <w:rPr>
          <w:rFonts w:hint="eastAsia" w:ascii="宋体" w:hAnsi="宋体" w:cs="宋体"/>
          <w:sz w:val="28"/>
        </w:rPr>
        <w:t>甲、乙双方本着自愿、平等、互利和</w:t>
      </w:r>
      <w:bookmarkStart w:id="295" w:name="_Hlt125770598"/>
      <w:bookmarkEnd w:id="295"/>
      <w:r>
        <w:rPr>
          <w:rFonts w:hint="eastAsia" w:ascii="宋体" w:hAnsi="宋体" w:cs="宋体"/>
          <w:sz w:val="28"/>
        </w:rPr>
        <w:t>诚实信用的原则，经充分协商，就甲方指定乙方为江苏大生集团有限公司</w:t>
      </w:r>
      <w:r>
        <w:rPr>
          <w:rFonts w:hint="eastAsia" w:ascii="宋体" w:hAnsi="宋体" w:cs="宋体"/>
          <w:sz w:val="28"/>
          <w:lang w:val="en-US" w:eastAsia="zh-CN"/>
        </w:rPr>
        <w:t>2023年度</w:t>
      </w:r>
      <w:r>
        <w:rPr>
          <w:rFonts w:hint="eastAsia" w:ascii="宋体" w:hAnsi="宋体" w:cs="宋体"/>
          <w:sz w:val="28"/>
        </w:rPr>
        <w:t>财产险项目（以下统称“本项目”）的承保人，乙方为甲方提供相应保险服务达成以下协议：</w:t>
      </w:r>
    </w:p>
    <w:p>
      <w:pPr>
        <w:pStyle w:val="8"/>
        <w:spacing w:line="360" w:lineRule="auto"/>
        <w:ind w:firstLine="0"/>
        <w:jc w:val="left"/>
        <w:rPr>
          <w:rFonts w:ascii="宋体" w:hAnsi="宋体" w:cs="宋体"/>
          <w:kern w:val="2"/>
          <w:sz w:val="28"/>
          <w:szCs w:val="24"/>
        </w:rPr>
      </w:pPr>
    </w:p>
    <w:p>
      <w:pPr>
        <w:spacing w:line="360" w:lineRule="auto"/>
        <w:ind w:firstLine="560"/>
        <w:rPr>
          <w:rFonts w:ascii="宋体" w:hAnsi="宋体" w:cs="宋体"/>
          <w:b/>
          <w:sz w:val="28"/>
        </w:rPr>
      </w:pPr>
      <w:r>
        <w:rPr>
          <w:rFonts w:hint="eastAsia" w:ascii="宋体" w:hAnsi="宋体" w:cs="宋体"/>
          <w:b/>
          <w:sz w:val="28"/>
        </w:rPr>
        <w:t>一、定义：</w:t>
      </w:r>
    </w:p>
    <w:p>
      <w:pPr>
        <w:spacing w:line="360" w:lineRule="auto"/>
        <w:ind w:left="588"/>
        <w:rPr>
          <w:rFonts w:ascii="宋体" w:hAnsi="宋体" w:cs="宋体"/>
          <w:sz w:val="28"/>
        </w:rPr>
      </w:pPr>
      <w:r>
        <w:rPr>
          <w:rFonts w:hint="eastAsia" w:ascii="宋体" w:hAnsi="宋体" w:cs="宋体"/>
          <w:sz w:val="28"/>
        </w:rPr>
        <w:t>（一）投保人</w:t>
      </w:r>
    </w:p>
    <w:p>
      <w:pPr>
        <w:spacing w:line="360" w:lineRule="auto"/>
        <w:ind w:firstLine="560"/>
        <w:rPr>
          <w:rFonts w:ascii="宋体" w:hAnsi="宋体" w:cs="宋体"/>
          <w:sz w:val="28"/>
        </w:rPr>
      </w:pPr>
      <w:r>
        <w:rPr>
          <w:rFonts w:hint="eastAsia" w:ascii="宋体" w:hAnsi="宋体" w:cs="宋体"/>
          <w:sz w:val="28"/>
        </w:rPr>
        <w:t>甲方为本项目的投保人。</w:t>
      </w:r>
    </w:p>
    <w:p>
      <w:pPr>
        <w:spacing w:line="360" w:lineRule="auto"/>
        <w:ind w:firstLine="560"/>
        <w:rPr>
          <w:rFonts w:ascii="宋体" w:hAnsi="宋体" w:cs="宋体"/>
          <w:sz w:val="28"/>
        </w:rPr>
      </w:pPr>
      <w:r>
        <w:rPr>
          <w:rFonts w:hint="eastAsia" w:ascii="宋体" w:hAnsi="宋体" w:cs="宋体"/>
          <w:sz w:val="28"/>
        </w:rPr>
        <w:t>（二）保险人</w:t>
      </w:r>
    </w:p>
    <w:p>
      <w:pPr>
        <w:spacing w:line="360" w:lineRule="auto"/>
        <w:ind w:firstLine="560"/>
        <w:rPr>
          <w:rFonts w:ascii="宋体" w:hAnsi="宋体" w:cs="宋体"/>
          <w:sz w:val="28"/>
        </w:rPr>
      </w:pPr>
      <w:r>
        <w:rPr>
          <w:rFonts w:hint="eastAsia" w:ascii="宋体" w:hAnsi="宋体" w:cs="宋体"/>
          <w:sz w:val="28"/>
        </w:rPr>
        <w:t>乙方为本项目的保险人。</w:t>
      </w:r>
    </w:p>
    <w:p>
      <w:pPr>
        <w:spacing w:line="360" w:lineRule="auto"/>
        <w:ind w:firstLine="560"/>
        <w:rPr>
          <w:rFonts w:ascii="宋体" w:hAnsi="宋体" w:cs="宋体"/>
          <w:sz w:val="28"/>
        </w:rPr>
      </w:pPr>
      <w:r>
        <w:rPr>
          <w:rFonts w:hint="eastAsia" w:ascii="宋体" w:hAnsi="宋体" w:cs="宋体"/>
          <w:sz w:val="28"/>
        </w:rPr>
        <w:t>（三）保险经纪人</w:t>
      </w:r>
    </w:p>
    <w:p>
      <w:pPr>
        <w:spacing w:line="360" w:lineRule="auto"/>
        <w:ind w:firstLine="560"/>
        <w:rPr>
          <w:rFonts w:ascii="宋体" w:hAnsi="宋体" w:cs="宋体"/>
          <w:sz w:val="28"/>
        </w:rPr>
      </w:pPr>
      <w:r>
        <w:rPr>
          <w:rFonts w:hint="eastAsia" w:ascii="宋体" w:hAnsi="宋体" w:cs="宋体"/>
          <w:sz w:val="28"/>
        </w:rPr>
        <w:t>江泰保险经纪股份有限公司南通分公司</w:t>
      </w: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二、合同组成</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1．下列文件应作为本协议的组成部分</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（1）本保险协议；</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（2）保险单及批单;</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（3）中标通知书；</w:t>
      </w:r>
    </w:p>
    <w:p>
      <w:pPr>
        <w:pStyle w:val="8"/>
        <w:spacing w:line="360" w:lineRule="auto"/>
        <w:ind w:firstLine="560" w:firstLineChars="200"/>
        <w:rPr>
          <w:rFonts w:ascii="宋体" w:hAnsi="宋体" w:cs="宋体"/>
          <w:sz w:val="28"/>
        </w:rPr>
      </w:pPr>
      <w:r>
        <w:rPr>
          <w:rFonts w:hint="eastAsia" w:ascii="宋体" w:hAnsi="宋体" w:cs="宋体"/>
          <w:kern w:val="2"/>
          <w:sz w:val="28"/>
          <w:szCs w:val="24"/>
        </w:rPr>
        <w:t>（4）</w:t>
      </w:r>
      <w:r>
        <w:rPr>
          <w:rFonts w:hint="eastAsia" w:ascii="宋体" w:hAnsi="宋体" w:cs="宋体"/>
          <w:sz w:val="28"/>
        </w:rPr>
        <w:t>保险谈判达成的书面协议；</w:t>
      </w:r>
    </w:p>
    <w:p>
      <w:pPr>
        <w:spacing w:line="360" w:lineRule="auto"/>
        <w:ind w:firstLine="570"/>
        <w:rPr>
          <w:rFonts w:ascii="宋体" w:hAnsi="宋体" w:cs="宋体"/>
          <w:sz w:val="28"/>
        </w:rPr>
      </w:pPr>
      <w:r>
        <w:rPr>
          <w:rFonts w:hint="eastAsia" w:ascii="宋体" w:hAnsi="宋体" w:cs="宋体"/>
          <w:sz w:val="28"/>
        </w:rPr>
        <w:t>（5）投标文件澄清及投标文件;</w:t>
      </w:r>
    </w:p>
    <w:p>
      <w:pPr>
        <w:spacing w:line="360" w:lineRule="auto"/>
        <w:ind w:firstLine="570"/>
        <w:rPr>
          <w:rFonts w:ascii="宋体" w:hAnsi="宋体" w:cs="宋体"/>
          <w:sz w:val="28"/>
        </w:rPr>
      </w:pPr>
      <w:r>
        <w:rPr>
          <w:rFonts w:hint="eastAsia" w:ascii="宋体" w:hAnsi="宋体" w:cs="宋体"/>
          <w:sz w:val="28"/>
        </w:rPr>
        <w:t>（6）招标文件答疑及招标文件;</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（7）形成合同的其他有关文件。</w:t>
      </w:r>
    </w:p>
    <w:p>
      <w:pPr>
        <w:pStyle w:val="8"/>
        <w:spacing w:line="360" w:lineRule="auto"/>
        <w:ind w:firstLine="560" w:firstLineChars="200"/>
        <w:rPr>
          <w:rFonts w:ascii="宋体" w:hAnsi="宋体" w:cs="宋体"/>
          <w:sz w:val="28"/>
        </w:rPr>
      </w:pPr>
      <w:r>
        <w:rPr>
          <w:rFonts w:hint="eastAsia" w:ascii="宋体" w:hAnsi="宋体" w:cs="宋体"/>
          <w:kern w:val="2"/>
          <w:sz w:val="28"/>
          <w:szCs w:val="24"/>
        </w:rPr>
        <w:t>2．</w:t>
      </w:r>
      <w:r>
        <w:rPr>
          <w:rFonts w:hint="eastAsia" w:ascii="宋体" w:hAnsi="宋体" w:cs="宋体"/>
          <w:sz w:val="28"/>
        </w:rPr>
        <w:t>上述文件互为补充和解释，如有不清或互相矛盾之处，以上面所列顺序在前的为准，但双方有特别约定的除外。</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三、保险明细表及保险条款</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详细见保险单</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四、保险费率和保险费</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详细见保险单</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五、保险期限</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共12个月,自202</w:t>
      </w:r>
      <w:r>
        <w:rPr>
          <w:rFonts w:hint="eastAsia" w:ascii="宋体" w:hAnsi="宋体" w:cs="宋体"/>
          <w:kern w:val="2"/>
          <w:sz w:val="28"/>
          <w:szCs w:val="24"/>
          <w:lang w:val="en-US" w:eastAsia="zh-CN"/>
        </w:rPr>
        <w:t>3</w:t>
      </w:r>
      <w:r>
        <w:rPr>
          <w:rFonts w:hint="eastAsia" w:ascii="宋体" w:hAnsi="宋体" w:cs="宋体"/>
          <w:kern w:val="2"/>
          <w:sz w:val="28"/>
          <w:szCs w:val="24"/>
        </w:rPr>
        <w:t>年5月27日零时起至202</w:t>
      </w:r>
      <w:r>
        <w:rPr>
          <w:rFonts w:hint="eastAsia" w:ascii="宋体" w:hAnsi="宋体" w:cs="宋体"/>
          <w:kern w:val="2"/>
          <w:sz w:val="28"/>
          <w:szCs w:val="24"/>
          <w:lang w:val="en-US" w:eastAsia="zh-CN"/>
        </w:rPr>
        <w:t>4</w:t>
      </w:r>
      <w:r>
        <w:rPr>
          <w:rFonts w:hint="eastAsia" w:ascii="宋体" w:hAnsi="宋体" w:cs="宋体"/>
          <w:kern w:val="2"/>
          <w:sz w:val="28"/>
          <w:szCs w:val="24"/>
        </w:rPr>
        <w:t>年5月26日24时止。</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六、保险服务条款</w:t>
      </w:r>
    </w:p>
    <w:p>
      <w:pPr>
        <w:spacing w:line="360" w:lineRule="auto"/>
        <w:ind w:firstLine="560" w:firstLineChars="200"/>
        <w:rPr>
          <w:rFonts w:ascii="宋体" w:hAnsi="宋体" w:cs="宋体"/>
          <w:sz w:val="28"/>
          <w:szCs w:val="28"/>
        </w:rPr>
      </w:pPr>
      <w:r>
        <w:rPr>
          <w:rFonts w:hint="eastAsia" w:ascii="宋体" w:hAnsi="宋体" w:cs="宋体"/>
          <w:sz w:val="28"/>
          <w:szCs w:val="28"/>
        </w:rPr>
        <w:t>1、成立“江苏大生集团</w:t>
      </w:r>
      <w:r>
        <w:rPr>
          <w:rFonts w:hint="eastAsia" w:ascii="宋体" w:hAnsi="宋体" w:cs="宋体"/>
          <w:sz w:val="28"/>
        </w:rPr>
        <w:t>有限公司财产保险项目”</w:t>
      </w:r>
      <w:r>
        <w:rPr>
          <w:rFonts w:hint="eastAsia" w:ascii="宋体" w:hAnsi="宋体" w:cs="宋体"/>
          <w:sz w:val="28"/>
          <w:szCs w:val="28"/>
        </w:rPr>
        <w:t>服务小组</w:t>
      </w:r>
    </w:p>
    <w:p>
      <w:pPr>
        <w:spacing w:line="360" w:lineRule="auto"/>
        <w:ind w:firstLine="560" w:firstLineChars="200"/>
        <w:rPr>
          <w:rFonts w:ascii="宋体" w:hAnsi="宋体" w:cs="宋体"/>
          <w:kern w:val="0"/>
          <w:sz w:val="28"/>
          <w:szCs w:val="28"/>
        </w:rPr>
      </w:pPr>
      <w:r>
        <w:rPr>
          <w:rFonts w:hint="eastAsia" w:ascii="宋体" w:hAnsi="宋体" w:cs="宋体"/>
          <w:sz w:val="28"/>
          <w:szCs w:val="28"/>
        </w:rPr>
        <w:t>乙方及江泰保险经纪南通分公司</w:t>
      </w:r>
      <w:r>
        <w:rPr>
          <w:rFonts w:hint="eastAsia" w:ascii="宋体" w:hAnsi="宋体" w:cs="宋体"/>
          <w:kern w:val="0"/>
          <w:sz w:val="28"/>
          <w:szCs w:val="28"/>
        </w:rPr>
        <w:t>应专门成立“</w:t>
      </w:r>
      <w:r>
        <w:rPr>
          <w:rFonts w:hint="eastAsia" w:ascii="宋体" w:hAnsi="宋体" w:cs="宋体"/>
          <w:sz w:val="28"/>
        </w:rPr>
        <w:t>江苏大生集团有限公司财产保险</w:t>
      </w:r>
      <w:r>
        <w:rPr>
          <w:rFonts w:hint="eastAsia" w:ascii="宋体" w:hAnsi="宋体" w:cs="宋体"/>
          <w:kern w:val="0"/>
          <w:sz w:val="28"/>
          <w:szCs w:val="28"/>
        </w:rPr>
        <w:t>项目”服务小组，在本协议或保单生效后（以先发生者为准）立即投入正式运营，负责受理所有涉及本协议保险的索赔案件。</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项目服务小组成员包括：</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组  长：　</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副组长：　</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其他成员：　</w:t>
      </w:r>
    </w:p>
    <w:p>
      <w:pPr>
        <w:pStyle w:val="8"/>
        <w:spacing w:line="360" w:lineRule="auto"/>
        <w:ind w:firstLine="560" w:firstLineChars="200"/>
        <w:rPr>
          <w:rFonts w:ascii="宋体" w:hAnsi="宋体" w:cs="宋体"/>
          <w:sz w:val="28"/>
          <w:szCs w:val="28"/>
        </w:rPr>
      </w:pPr>
      <w:r>
        <w:rPr>
          <w:rFonts w:hint="eastAsia" w:ascii="宋体" w:hAnsi="宋体" w:cs="宋体"/>
          <w:sz w:val="28"/>
          <w:szCs w:val="28"/>
        </w:rPr>
        <w:t>项目小组组长、副组长人员变动须与甲方协商确定，其他成员人员变动须通知甲方。</w:t>
      </w:r>
    </w:p>
    <w:p>
      <w:pPr>
        <w:spacing w:line="360" w:lineRule="auto"/>
        <w:ind w:firstLine="560" w:firstLineChars="200"/>
        <w:rPr>
          <w:rFonts w:ascii="宋体" w:hAnsi="宋体" w:cs="宋体"/>
          <w:sz w:val="28"/>
          <w:szCs w:val="28"/>
        </w:rPr>
      </w:pPr>
      <w:r>
        <w:rPr>
          <w:rFonts w:hint="eastAsia" w:ascii="宋体" w:hAnsi="宋体" w:cs="宋体"/>
          <w:sz w:val="28"/>
          <w:szCs w:val="28"/>
        </w:rPr>
        <w:t>2、客户服务手册</w:t>
      </w:r>
    </w:p>
    <w:p>
      <w:pPr>
        <w:spacing w:line="360" w:lineRule="auto"/>
        <w:ind w:firstLine="560" w:firstLineChars="200"/>
        <w:rPr>
          <w:rFonts w:ascii="宋体" w:hAnsi="宋体" w:cs="宋体"/>
          <w:sz w:val="28"/>
          <w:szCs w:val="28"/>
        </w:rPr>
      </w:pPr>
      <w:r>
        <w:rPr>
          <w:rFonts w:hint="eastAsia" w:ascii="宋体" w:hAnsi="宋体" w:cs="宋体"/>
          <w:sz w:val="28"/>
          <w:szCs w:val="28"/>
        </w:rPr>
        <w:t>为了便于被保险人了解保险服务操作流程，乙方及江泰保险经纪南通分公司在保单签订后30日内为被保险人提供专门为本项目设计编制的《客户保险手册》。内容包括但不限于保单摘要、各险种保险责任、</w:t>
      </w:r>
      <w:r>
        <w:rPr>
          <w:rFonts w:hint="eastAsia" w:ascii="宋体" w:hAnsi="宋体" w:cs="宋体"/>
          <w:sz w:val="28"/>
          <w:szCs w:val="28"/>
          <w:lang w:val="en-US" w:eastAsia="zh-CN"/>
        </w:rPr>
        <w:t>承保</w:t>
      </w:r>
      <w:r>
        <w:rPr>
          <w:rFonts w:hint="eastAsia" w:ascii="宋体" w:hAnsi="宋体" w:cs="宋体"/>
          <w:sz w:val="28"/>
          <w:szCs w:val="28"/>
        </w:rPr>
        <w:t>公司服务团队、被保险人义务、出险报案、施救措施、索赔程序等，明确告知被保险人各险种保单的保险责任范围、出险后应如何施救、如何通知保险公司、如何填写相应的出险通知书和如何提供索赔单证等事宜，编制保险手册所产生的费用应由乙方承担。</w:t>
      </w:r>
    </w:p>
    <w:p>
      <w:pPr>
        <w:spacing w:line="360" w:lineRule="auto"/>
        <w:ind w:firstLine="560" w:firstLineChars="200"/>
        <w:rPr>
          <w:rFonts w:ascii="宋体" w:hAnsi="宋体" w:cs="宋体"/>
          <w:sz w:val="28"/>
          <w:szCs w:val="28"/>
        </w:rPr>
      </w:pPr>
      <w:r>
        <w:rPr>
          <w:rFonts w:hint="eastAsia" w:ascii="宋体" w:hAnsi="宋体" w:cs="宋体"/>
          <w:sz w:val="28"/>
          <w:szCs w:val="28"/>
        </w:rPr>
        <w:t>3、保险培训服务</w:t>
      </w:r>
    </w:p>
    <w:p>
      <w:pPr>
        <w:spacing w:line="360" w:lineRule="auto"/>
        <w:ind w:firstLine="560" w:firstLineChars="200"/>
        <w:rPr>
          <w:rFonts w:ascii="宋体" w:hAnsi="宋体" w:cs="宋体"/>
          <w:sz w:val="28"/>
          <w:szCs w:val="28"/>
        </w:rPr>
      </w:pPr>
      <w:r>
        <w:rPr>
          <w:rFonts w:hint="eastAsia" w:ascii="宋体" w:hAnsi="宋体" w:cs="宋体"/>
          <w:sz w:val="28"/>
          <w:szCs w:val="28"/>
        </w:rPr>
        <w:t>在保险有效期内，乙方和江泰保险经纪南通分公司每年至少举办一次保险知识和风险管理培训，以提高甲方相关人员的安全意识和防灾防损技能。培训费用由乙方承担，具体举办时间和地点由协议双方共同协商确定。</w:t>
      </w:r>
    </w:p>
    <w:p>
      <w:pPr>
        <w:spacing w:line="360" w:lineRule="auto"/>
        <w:ind w:firstLine="560" w:firstLineChars="200"/>
        <w:rPr>
          <w:rFonts w:ascii="宋体" w:hAnsi="宋体" w:cs="宋体"/>
          <w:sz w:val="28"/>
          <w:szCs w:val="28"/>
        </w:rPr>
      </w:pPr>
      <w:r>
        <w:rPr>
          <w:rFonts w:hint="eastAsia" w:ascii="宋体" w:hAnsi="宋体" w:cs="宋体"/>
          <w:sz w:val="28"/>
          <w:szCs w:val="28"/>
        </w:rPr>
        <w:t>4. 风险管控服务</w:t>
      </w:r>
    </w:p>
    <w:p>
      <w:pPr>
        <w:spacing w:line="360" w:lineRule="auto"/>
        <w:ind w:firstLine="560" w:firstLineChars="200"/>
        <w:rPr>
          <w:rFonts w:ascii="宋体" w:hAnsi="宋体" w:cs="宋体"/>
          <w:sz w:val="28"/>
          <w:szCs w:val="28"/>
        </w:rPr>
      </w:pPr>
      <w:r>
        <w:rPr>
          <w:rFonts w:hint="eastAsia" w:ascii="宋体" w:hAnsi="宋体" w:cs="宋体"/>
          <w:sz w:val="28"/>
          <w:szCs w:val="28"/>
        </w:rPr>
        <w:t>乙方及江泰保险经纪南通分公司组织相关专家与被保险人有关部门配合，每年定期对现场进行风险查勘，检查被保险标的的安全情况，及时消除隐患，强化风险防范意识。根据现场查勘的实际情况有针对性地制定防灾防损措施，确保被保险人经营管理的顺利进行，专家查勘费用由乙方承担。</w:t>
      </w:r>
    </w:p>
    <w:p>
      <w:pPr>
        <w:spacing w:line="360" w:lineRule="auto"/>
        <w:ind w:firstLine="560" w:firstLineChars="200"/>
        <w:rPr>
          <w:rFonts w:ascii="宋体" w:hAnsi="宋体" w:cs="宋体"/>
          <w:sz w:val="28"/>
          <w:szCs w:val="28"/>
        </w:rPr>
      </w:pPr>
      <w:r>
        <w:rPr>
          <w:rFonts w:hint="eastAsia" w:ascii="宋体" w:hAnsi="宋体" w:cs="宋体"/>
          <w:sz w:val="28"/>
          <w:szCs w:val="28"/>
        </w:rPr>
        <w:t>乙方应加强同国家气象部门或其他相关部门合作，建立针对该项目的自然灾害预警制度，建立暴雨等灾害性天气预报网络，提供灾害预报服务，提前将所在地区的灾害性天气预报传真给被保险人，与甲方一起做好这些灾害的风险控制工作。</w:t>
      </w:r>
    </w:p>
    <w:p>
      <w:pPr>
        <w:spacing w:line="360" w:lineRule="auto"/>
        <w:ind w:firstLine="560" w:firstLineChars="200"/>
        <w:rPr>
          <w:rFonts w:ascii="宋体" w:hAnsi="宋体" w:cs="宋体"/>
          <w:sz w:val="28"/>
          <w:szCs w:val="28"/>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七、理赔服务条款</w:t>
      </w:r>
    </w:p>
    <w:p>
      <w:pPr>
        <w:spacing w:line="360" w:lineRule="auto"/>
        <w:ind w:firstLine="560" w:firstLineChars="200"/>
        <w:rPr>
          <w:rFonts w:ascii="宋体" w:hAnsi="宋体" w:cs="宋体"/>
          <w:sz w:val="28"/>
          <w:szCs w:val="28"/>
        </w:rPr>
      </w:pPr>
      <w:r>
        <w:rPr>
          <w:rFonts w:hint="eastAsia" w:ascii="宋体" w:hAnsi="宋体" w:cs="宋体"/>
          <w:sz w:val="28"/>
          <w:szCs w:val="28"/>
        </w:rPr>
        <w:t>1、接报案</w:t>
      </w:r>
    </w:p>
    <w:p>
      <w:pPr>
        <w:spacing w:line="360" w:lineRule="auto"/>
        <w:ind w:firstLine="560" w:firstLineChars="200"/>
        <w:rPr>
          <w:rFonts w:ascii="宋体" w:hAnsi="宋体" w:cs="宋体"/>
          <w:sz w:val="28"/>
          <w:szCs w:val="28"/>
        </w:rPr>
      </w:pPr>
      <w:r>
        <w:rPr>
          <w:rFonts w:hint="eastAsia" w:ascii="宋体" w:hAnsi="宋体" w:cs="宋体"/>
          <w:sz w:val="28"/>
          <w:szCs w:val="28"/>
        </w:rPr>
        <w:t>（1）乙方应设立24小时报案电话，全年365天随时接受被保险人（或江泰保险经纪南通分公司）的出险报案。</w:t>
      </w:r>
    </w:p>
    <w:p>
      <w:pPr>
        <w:spacing w:line="360" w:lineRule="auto"/>
        <w:ind w:firstLine="560" w:firstLineChars="200"/>
        <w:rPr>
          <w:rFonts w:ascii="宋体" w:hAnsi="宋体" w:cs="宋体"/>
          <w:sz w:val="28"/>
          <w:szCs w:val="28"/>
        </w:rPr>
      </w:pPr>
      <w:r>
        <w:rPr>
          <w:rFonts w:hint="eastAsia" w:ascii="宋体" w:hAnsi="宋体" w:cs="宋体"/>
          <w:sz w:val="28"/>
          <w:szCs w:val="28"/>
        </w:rPr>
        <w:t>（2）被保险人因特殊情况无法在乙方规定时间内报案的，应出具书面说明，乙方视同为及时报案。</w:t>
      </w:r>
    </w:p>
    <w:p>
      <w:pPr>
        <w:spacing w:line="360" w:lineRule="auto"/>
        <w:ind w:firstLine="560" w:firstLineChars="200"/>
        <w:rPr>
          <w:rFonts w:ascii="宋体" w:hAnsi="宋体" w:cs="宋体"/>
          <w:sz w:val="28"/>
          <w:szCs w:val="28"/>
        </w:rPr>
      </w:pPr>
      <w:r>
        <w:rPr>
          <w:rFonts w:hint="eastAsia" w:ascii="宋体" w:hAnsi="宋体" w:cs="宋体"/>
          <w:sz w:val="28"/>
          <w:szCs w:val="28"/>
        </w:rPr>
        <w:t>2、现场查勘</w:t>
      </w:r>
    </w:p>
    <w:p>
      <w:pPr>
        <w:spacing w:line="360" w:lineRule="auto"/>
        <w:ind w:firstLine="560" w:firstLineChars="200"/>
        <w:rPr>
          <w:rFonts w:ascii="宋体" w:hAnsi="宋体" w:cs="宋体"/>
          <w:sz w:val="28"/>
          <w:szCs w:val="28"/>
        </w:rPr>
      </w:pPr>
      <w:r>
        <w:rPr>
          <w:rFonts w:hint="eastAsia" w:ascii="宋体" w:hAnsi="宋体" w:cs="宋体"/>
          <w:sz w:val="28"/>
          <w:szCs w:val="28"/>
        </w:rPr>
        <w:t>（1）接到报案后，乙方应向被保险人提出事故处理意见，如需现场查勘，应明确告知查勘人员到达事故现场的时间并在承诺时间内到达，否则，被保险人有权自行处理事故现场。</w:t>
      </w:r>
    </w:p>
    <w:p>
      <w:pPr>
        <w:spacing w:line="360" w:lineRule="auto"/>
        <w:ind w:firstLine="560" w:firstLineChars="200"/>
        <w:rPr>
          <w:rFonts w:ascii="宋体" w:hAnsi="宋体" w:cs="宋体"/>
          <w:sz w:val="28"/>
          <w:szCs w:val="28"/>
        </w:rPr>
      </w:pPr>
      <w:r>
        <w:rPr>
          <w:rFonts w:hint="eastAsia" w:ascii="宋体" w:hAnsi="宋体" w:cs="宋体"/>
          <w:sz w:val="28"/>
          <w:szCs w:val="28"/>
        </w:rPr>
        <w:t>（2）在乙方进行现场查勘前，如情况紧急必须尽快恢复生产运营的，乙方同意被保险人先行修复或人员救治，但被保险人应保留相关事故现场材料和事故现场照片，乙方同意以被保险人提供的索赔资料作为理赔依据；</w:t>
      </w:r>
    </w:p>
    <w:p>
      <w:pPr>
        <w:spacing w:line="360" w:lineRule="auto"/>
        <w:ind w:firstLine="560" w:firstLineChars="200"/>
        <w:rPr>
          <w:rFonts w:ascii="宋体" w:hAnsi="宋体" w:cs="宋体"/>
          <w:sz w:val="28"/>
          <w:szCs w:val="28"/>
        </w:rPr>
      </w:pPr>
      <w:r>
        <w:rPr>
          <w:rFonts w:hint="eastAsia" w:ascii="宋体" w:hAnsi="宋体" w:cs="宋体"/>
          <w:sz w:val="28"/>
          <w:szCs w:val="28"/>
        </w:rPr>
        <w:t>（3）查勘人员到达事故现场后，应配合被保险人做好必要的人员施救工作及受损财产的保护、修理工作，及时查明出险时间、地点、原因。</w:t>
      </w:r>
    </w:p>
    <w:p>
      <w:pPr>
        <w:spacing w:line="360" w:lineRule="auto"/>
        <w:ind w:firstLine="560" w:firstLineChars="200"/>
        <w:rPr>
          <w:rFonts w:ascii="宋体" w:hAnsi="宋体" w:cs="宋体"/>
          <w:sz w:val="28"/>
          <w:szCs w:val="28"/>
        </w:rPr>
      </w:pPr>
      <w:r>
        <w:rPr>
          <w:rFonts w:hint="eastAsia" w:ascii="宋体" w:hAnsi="宋体" w:cs="宋体"/>
          <w:sz w:val="28"/>
          <w:szCs w:val="28"/>
        </w:rPr>
        <w:t>查勘人员的现场查勘工作包括：</w:t>
      </w:r>
    </w:p>
    <w:p>
      <w:pPr>
        <w:spacing w:line="360" w:lineRule="auto"/>
        <w:rPr>
          <w:rFonts w:ascii="宋体" w:hAnsi="宋体" w:cs="宋体"/>
          <w:sz w:val="28"/>
          <w:szCs w:val="28"/>
        </w:rPr>
      </w:pPr>
      <w:r>
        <w:rPr>
          <w:rFonts w:hint="eastAsia" w:ascii="宋体" w:hAnsi="宋体" w:cs="宋体"/>
          <w:sz w:val="28"/>
          <w:szCs w:val="28"/>
        </w:rPr>
        <w:t xml:space="preserve">    1）收到事故通知后，在承诺时间内迅速到达事故现场。在需要聘请公估人的情况下，公估公司专家在48小时内到达现场。</w:t>
      </w:r>
    </w:p>
    <w:p>
      <w:pPr>
        <w:spacing w:line="360" w:lineRule="auto"/>
        <w:rPr>
          <w:rFonts w:ascii="宋体" w:hAnsi="宋体" w:cs="宋体"/>
          <w:sz w:val="28"/>
          <w:szCs w:val="28"/>
        </w:rPr>
      </w:pPr>
      <w:r>
        <w:rPr>
          <w:rFonts w:hint="eastAsia" w:ascii="宋体" w:hAnsi="宋体" w:cs="宋体"/>
          <w:sz w:val="28"/>
          <w:szCs w:val="28"/>
        </w:rPr>
        <w:t xml:space="preserve">    2）做好现场查勘工作，配合被保险人制定应急措施，做好施救工作，防止损害进一步扩大。</w:t>
      </w:r>
    </w:p>
    <w:p>
      <w:pPr>
        <w:spacing w:line="360" w:lineRule="auto"/>
        <w:rPr>
          <w:rFonts w:ascii="宋体" w:hAnsi="宋体" w:cs="宋体"/>
          <w:sz w:val="28"/>
          <w:szCs w:val="28"/>
        </w:rPr>
      </w:pPr>
      <w:r>
        <w:rPr>
          <w:rFonts w:hint="eastAsia" w:ascii="宋体" w:hAnsi="宋体" w:cs="宋体"/>
          <w:sz w:val="28"/>
          <w:szCs w:val="28"/>
        </w:rPr>
        <w:t xml:space="preserve">    3）及时将赔案处理情况和被保险人沟通,使其了解赔案处理的进程，对被保险人在索赔处理上提供必要的帮助。</w:t>
      </w:r>
    </w:p>
    <w:p>
      <w:pPr>
        <w:spacing w:line="360" w:lineRule="auto"/>
        <w:rPr>
          <w:rFonts w:ascii="宋体" w:hAnsi="宋体" w:cs="宋体"/>
          <w:sz w:val="28"/>
          <w:szCs w:val="28"/>
        </w:rPr>
      </w:pPr>
      <w:r>
        <w:rPr>
          <w:rFonts w:hint="eastAsia" w:ascii="宋体" w:hAnsi="宋体" w:cs="宋体"/>
          <w:sz w:val="28"/>
          <w:szCs w:val="28"/>
        </w:rPr>
        <w:t xml:space="preserve">    4）遵循被保险人有关事故消息公布及各项保密守则和制度。</w:t>
      </w:r>
    </w:p>
    <w:p>
      <w:pPr>
        <w:spacing w:line="360" w:lineRule="auto"/>
        <w:ind w:firstLine="560" w:firstLineChars="200"/>
        <w:rPr>
          <w:rFonts w:ascii="宋体" w:hAnsi="宋体" w:cs="宋体"/>
          <w:sz w:val="28"/>
          <w:szCs w:val="28"/>
        </w:rPr>
      </w:pPr>
      <w:r>
        <w:rPr>
          <w:rFonts w:hint="eastAsia" w:ascii="宋体" w:hAnsi="宋体" w:cs="宋体"/>
          <w:sz w:val="28"/>
          <w:szCs w:val="28"/>
        </w:rPr>
        <w:t>3、定责定损</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乙方应在现场调查结束后24小时内提交初步调查建议书，提出初步损失金额；在现场调查结束后48小时内提交首次查勘报告。 </w:t>
      </w:r>
    </w:p>
    <w:p>
      <w:pPr>
        <w:spacing w:line="360" w:lineRule="auto"/>
        <w:ind w:firstLine="560" w:firstLineChars="200"/>
        <w:rPr>
          <w:rFonts w:ascii="宋体" w:hAnsi="宋体" w:cs="宋体"/>
          <w:sz w:val="28"/>
          <w:szCs w:val="28"/>
        </w:rPr>
      </w:pPr>
      <w:r>
        <w:rPr>
          <w:rFonts w:hint="eastAsia" w:ascii="宋体" w:hAnsi="宋体" w:cs="宋体"/>
          <w:sz w:val="28"/>
          <w:szCs w:val="28"/>
        </w:rPr>
        <w:t>自乙方或保险公估人查勘工作完成之日起30日(日历日)内完成定责定损，并在上述时限内以书面方式给予被保险人和江泰保险经纪南通分公司定责定损意见。</w:t>
      </w:r>
    </w:p>
    <w:p>
      <w:pPr>
        <w:spacing w:line="360" w:lineRule="auto"/>
        <w:ind w:firstLine="560" w:firstLineChars="200"/>
        <w:rPr>
          <w:rFonts w:ascii="宋体" w:hAnsi="宋体" w:cs="宋体"/>
          <w:sz w:val="28"/>
          <w:szCs w:val="28"/>
        </w:rPr>
      </w:pPr>
      <w:r>
        <w:rPr>
          <w:rFonts w:hint="eastAsia" w:ascii="宋体" w:hAnsi="宋体" w:cs="宋体"/>
          <w:sz w:val="28"/>
          <w:szCs w:val="28"/>
        </w:rPr>
        <w:t>4、单证审核</w:t>
      </w:r>
    </w:p>
    <w:p>
      <w:pPr>
        <w:spacing w:line="360" w:lineRule="auto"/>
        <w:ind w:firstLine="560" w:firstLineChars="200"/>
        <w:rPr>
          <w:rFonts w:ascii="宋体" w:hAnsi="宋体" w:cs="宋体"/>
          <w:sz w:val="28"/>
          <w:szCs w:val="28"/>
        </w:rPr>
      </w:pPr>
      <w:r>
        <w:rPr>
          <w:rFonts w:hint="eastAsia" w:ascii="宋体" w:hAnsi="宋体" w:cs="宋体"/>
          <w:sz w:val="28"/>
          <w:szCs w:val="28"/>
        </w:rPr>
        <w:t>甲方按本保险有关规定以EMS、邮寄或其他方式向乙方项目服务小组提交必须的、有效的、真实的有关单证和资料。乙方在接到后应立即审查核实，若认为有关证明和材料不完整，应立即以书面或口头方式通知甲方应补充提供的有关证明或资料。若在接到索赔资料后3个工作日内未提出有关审核意见，则视为乙方认可索赔资料完整。</w:t>
      </w:r>
    </w:p>
    <w:p>
      <w:pPr>
        <w:spacing w:line="360" w:lineRule="auto"/>
        <w:ind w:firstLine="560" w:firstLineChars="200"/>
        <w:rPr>
          <w:rFonts w:ascii="宋体" w:hAnsi="宋体" w:cs="宋体"/>
          <w:sz w:val="28"/>
          <w:szCs w:val="28"/>
        </w:rPr>
      </w:pPr>
      <w:r>
        <w:rPr>
          <w:rFonts w:hint="eastAsia" w:ascii="宋体" w:hAnsi="宋体" w:cs="宋体"/>
          <w:sz w:val="28"/>
          <w:szCs w:val="28"/>
        </w:rPr>
        <w:t>5、结案</w:t>
      </w:r>
    </w:p>
    <w:p>
      <w:pPr>
        <w:spacing w:line="360" w:lineRule="auto"/>
        <w:ind w:firstLine="560" w:firstLineChars="200"/>
        <w:rPr>
          <w:rFonts w:ascii="宋体" w:hAnsi="宋体" w:cs="宋体"/>
          <w:sz w:val="28"/>
          <w:szCs w:val="28"/>
        </w:rPr>
      </w:pPr>
      <w:r>
        <w:rPr>
          <w:rFonts w:hint="eastAsia" w:ascii="宋体" w:hAnsi="宋体" w:cs="宋体"/>
          <w:sz w:val="28"/>
          <w:szCs w:val="28"/>
        </w:rPr>
        <w:t>对于属于保险责任且双方对赔付金额达成一致的，乙方在收齐被保险人提交的索赔单据后将按照以下约定的时间及时划付赔款。</w:t>
      </w:r>
    </w:p>
    <w:p>
      <w:pPr>
        <w:spacing w:line="360" w:lineRule="auto"/>
        <w:ind w:firstLine="1400" w:firstLineChars="500"/>
        <w:rPr>
          <w:rFonts w:ascii="宋体" w:hAnsi="宋体" w:cs="宋体"/>
          <w:sz w:val="28"/>
          <w:szCs w:val="28"/>
        </w:rPr>
      </w:pPr>
      <w:r>
        <w:rPr>
          <w:rFonts w:hint="eastAsia" w:ascii="宋体" w:hAnsi="宋体" w:cs="宋体"/>
          <w:sz w:val="28"/>
          <w:szCs w:val="28"/>
        </w:rPr>
        <w:t>赔案金额（RMB）</w:t>
      </w:r>
      <w:r>
        <w:rPr>
          <w:rFonts w:hint="eastAsia" w:ascii="宋体" w:hAnsi="宋体" w:cs="宋体"/>
          <w:sz w:val="28"/>
          <w:szCs w:val="28"/>
        </w:rPr>
        <w:tab/>
      </w:r>
      <w:r>
        <w:rPr>
          <w:rFonts w:hint="eastAsia" w:ascii="宋体" w:hAnsi="宋体" w:cs="宋体"/>
          <w:sz w:val="28"/>
          <w:szCs w:val="28"/>
        </w:rPr>
        <w:t xml:space="preserve">          划付天数</w:t>
      </w:r>
    </w:p>
    <w:p>
      <w:pPr>
        <w:spacing w:line="360" w:lineRule="auto"/>
        <w:ind w:firstLine="1540" w:firstLineChars="550"/>
        <w:rPr>
          <w:rFonts w:ascii="宋体" w:hAnsi="宋体" w:cs="宋体"/>
          <w:sz w:val="28"/>
          <w:szCs w:val="28"/>
        </w:rPr>
      </w:pPr>
      <w:r>
        <w:rPr>
          <w:rFonts w:hint="eastAsia" w:ascii="宋体" w:hAnsi="宋体" w:cs="宋体"/>
          <w:sz w:val="28"/>
          <w:szCs w:val="28"/>
        </w:rPr>
        <w:t>50万元以内</w:t>
      </w:r>
      <w:r>
        <w:rPr>
          <w:rFonts w:hint="eastAsia" w:ascii="宋体" w:hAnsi="宋体" w:cs="宋体"/>
          <w:sz w:val="28"/>
          <w:szCs w:val="28"/>
        </w:rPr>
        <w:tab/>
      </w:r>
      <w:r>
        <w:rPr>
          <w:rFonts w:hint="eastAsia" w:ascii="宋体" w:hAnsi="宋体" w:cs="宋体"/>
          <w:sz w:val="28"/>
          <w:szCs w:val="28"/>
        </w:rPr>
        <w:t xml:space="preserve">            10个工作日</w:t>
      </w:r>
    </w:p>
    <w:p>
      <w:pPr>
        <w:spacing w:line="360" w:lineRule="auto"/>
        <w:ind w:firstLine="1540" w:firstLineChars="550"/>
        <w:rPr>
          <w:rFonts w:ascii="宋体" w:hAnsi="宋体" w:cs="宋体"/>
          <w:sz w:val="28"/>
          <w:szCs w:val="28"/>
        </w:rPr>
      </w:pPr>
      <w:r>
        <w:rPr>
          <w:rFonts w:hint="eastAsia" w:ascii="宋体" w:hAnsi="宋体" w:cs="宋体"/>
          <w:sz w:val="28"/>
          <w:szCs w:val="28"/>
        </w:rPr>
        <w:t>50-100万元</w:t>
      </w:r>
      <w:r>
        <w:rPr>
          <w:rFonts w:hint="eastAsia" w:ascii="宋体" w:hAnsi="宋体" w:cs="宋体"/>
          <w:sz w:val="28"/>
          <w:szCs w:val="28"/>
        </w:rPr>
        <w:tab/>
      </w:r>
      <w:r>
        <w:rPr>
          <w:rFonts w:hint="eastAsia" w:ascii="宋体" w:hAnsi="宋体" w:cs="宋体"/>
          <w:sz w:val="28"/>
          <w:szCs w:val="28"/>
        </w:rPr>
        <w:t xml:space="preserve">            15个工作日</w:t>
      </w:r>
    </w:p>
    <w:p>
      <w:pPr>
        <w:spacing w:line="360" w:lineRule="auto"/>
        <w:ind w:firstLine="1540" w:firstLineChars="550"/>
        <w:rPr>
          <w:rFonts w:ascii="宋体" w:hAnsi="宋体" w:cs="宋体"/>
          <w:sz w:val="28"/>
          <w:szCs w:val="28"/>
        </w:rPr>
      </w:pPr>
      <w:r>
        <w:rPr>
          <w:rFonts w:hint="eastAsia" w:ascii="宋体" w:hAnsi="宋体" w:cs="宋体"/>
          <w:sz w:val="28"/>
          <w:szCs w:val="28"/>
        </w:rPr>
        <w:t>100万元以上</w:t>
      </w:r>
      <w:r>
        <w:rPr>
          <w:rFonts w:hint="eastAsia" w:ascii="宋体" w:hAnsi="宋体" w:cs="宋体"/>
          <w:sz w:val="28"/>
          <w:szCs w:val="28"/>
        </w:rPr>
        <w:tab/>
      </w:r>
      <w:r>
        <w:rPr>
          <w:rFonts w:hint="eastAsia" w:ascii="宋体" w:hAnsi="宋体" w:cs="宋体"/>
          <w:sz w:val="28"/>
          <w:szCs w:val="28"/>
        </w:rPr>
        <w:t xml:space="preserve">            30个工作日</w:t>
      </w:r>
    </w:p>
    <w:p>
      <w:pPr>
        <w:spacing w:line="360" w:lineRule="auto"/>
        <w:ind w:firstLine="560" w:firstLineChars="200"/>
        <w:rPr>
          <w:rFonts w:ascii="宋体" w:hAnsi="宋体" w:cs="宋体"/>
          <w:sz w:val="28"/>
          <w:szCs w:val="28"/>
        </w:rPr>
      </w:pPr>
      <w:r>
        <w:rPr>
          <w:rFonts w:hint="eastAsia" w:ascii="宋体" w:hAnsi="宋体" w:cs="宋体"/>
          <w:sz w:val="28"/>
          <w:szCs w:val="28"/>
        </w:rPr>
        <w:t>6、违约处理</w:t>
      </w:r>
    </w:p>
    <w:p>
      <w:pPr>
        <w:spacing w:line="360" w:lineRule="auto"/>
        <w:ind w:firstLine="560" w:firstLineChars="200"/>
        <w:rPr>
          <w:rFonts w:ascii="宋体" w:hAnsi="宋体" w:cs="宋体"/>
          <w:sz w:val="28"/>
          <w:szCs w:val="28"/>
        </w:rPr>
      </w:pPr>
      <w:r>
        <w:rPr>
          <w:rFonts w:hint="eastAsia" w:ascii="宋体" w:hAnsi="宋体" w:cs="宋体"/>
          <w:sz w:val="28"/>
          <w:szCs w:val="28"/>
        </w:rPr>
        <w:t>如乙方未按约定时间支付赔款，则按应付赔款金额按实际违约天数所计算的利息（利率按同期银行贷款利率计）的两倍支付违约金。</w:t>
      </w:r>
    </w:p>
    <w:p>
      <w:pPr>
        <w:spacing w:line="360" w:lineRule="auto"/>
        <w:ind w:firstLine="560" w:firstLineChars="200"/>
        <w:rPr>
          <w:rFonts w:ascii="宋体" w:hAnsi="宋体" w:cs="宋体"/>
          <w:sz w:val="28"/>
          <w:szCs w:val="28"/>
        </w:rPr>
      </w:pPr>
      <w:r>
        <w:rPr>
          <w:rFonts w:hint="eastAsia" w:ascii="宋体" w:hAnsi="宋体" w:cs="宋体"/>
          <w:sz w:val="28"/>
          <w:szCs w:val="28"/>
        </w:rPr>
        <w:t>7、重大案件处理小组全面跟踪服务</w:t>
      </w:r>
    </w:p>
    <w:p>
      <w:pPr>
        <w:spacing w:line="360" w:lineRule="auto"/>
        <w:ind w:firstLine="560" w:firstLineChars="200"/>
        <w:rPr>
          <w:rFonts w:ascii="宋体" w:hAnsi="宋体" w:cs="宋体"/>
          <w:sz w:val="28"/>
          <w:szCs w:val="28"/>
        </w:rPr>
      </w:pPr>
      <w:r>
        <w:rPr>
          <w:rFonts w:hint="eastAsia" w:ascii="宋体" w:hAnsi="宋体" w:cs="宋体"/>
          <w:sz w:val="28"/>
          <w:szCs w:val="28"/>
        </w:rPr>
        <w:t>如遇重大案件，乙方的处理小组将在第一时间内赶赴现场协助被保险人施救及处理事故。对于涉及人伤的责任事故，医疗核损人员将于一日内对被保险人进行回访，了解人员救治及处理情况，向被保险人及主治医师提出处理建议，并随时接受被保险人相关问题的咨询。重大案件处理小组全程跟踪案件处理进程，并根据被保险人需要启动预付赔款。</w:t>
      </w:r>
    </w:p>
    <w:p>
      <w:pPr>
        <w:spacing w:line="360" w:lineRule="auto"/>
        <w:ind w:firstLine="560" w:firstLineChars="200"/>
        <w:rPr>
          <w:rFonts w:ascii="宋体" w:hAnsi="宋体" w:cs="宋体"/>
          <w:sz w:val="28"/>
          <w:szCs w:val="28"/>
        </w:rPr>
      </w:pPr>
      <w:r>
        <w:rPr>
          <w:rFonts w:hint="eastAsia" w:ascii="宋体" w:hAnsi="宋体" w:cs="宋体"/>
          <w:sz w:val="28"/>
          <w:szCs w:val="28"/>
        </w:rPr>
        <w:t>8、预付赔款机制</w:t>
      </w:r>
    </w:p>
    <w:p>
      <w:pPr>
        <w:spacing w:line="360" w:lineRule="auto"/>
        <w:ind w:firstLine="560" w:firstLineChars="200"/>
        <w:rPr>
          <w:rFonts w:ascii="宋体" w:hAnsi="宋体" w:cs="宋体"/>
          <w:sz w:val="28"/>
          <w:szCs w:val="28"/>
        </w:rPr>
      </w:pPr>
      <w:r>
        <w:rPr>
          <w:rFonts w:hint="eastAsia" w:ascii="宋体" w:hAnsi="宋体" w:cs="宋体"/>
          <w:sz w:val="28"/>
          <w:szCs w:val="28"/>
        </w:rPr>
        <w:t>发生保险责任范围内的保险事故，承保人在收到被保险人的索赔请求及相关单证资料之日起30个日历日内，未能确定赔偿金额的，根据被保险人的要求，乙方可预先支付部分赔款，金额限于预计赔偿金额的50％。</w:t>
      </w:r>
    </w:p>
    <w:p>
      <w:pPr>
        <w:spacing w:line="360" w:lineRule="auto"/>
        <w:ind w:firstLine="560" w:firstLineChars="200"/>
        <w:rPr>
          <w:rFonts w:ascii="宋体" w:hAnsi="宋体" w:cs="宋体"/>
          <w:sz w:val="28"/>
          <w:szCs w:val="28"/>
        </w:rPr>
      </w:pPr>
      <w:r>
        <w:rPr>
          <w:rFonts w:hint="eastAsia" w:ascii="宋体" w:hAnsi="宋体" w:cs="宋体"/>
          <w:sz w:val="28"/>
          <w:szCs w:val="28"/>
        </w:rPr>
        <w:t>9、保险公估制度</w:t>
      </w:r>
    </w:p>
    <w:p>
      <w:pPr>
        <w:spacing w:line="360" w:lineRule="auto"/>
        <w:ind w:firstLine="560" w:firstLineChars="200"/>
        <w:rPr>
          <w:rFonts w:ascii="宋体" w:hAnsi="宋体" w:cs="宋体"/>
          <w:sz w:val="28"/>
          <w:szCs w:val="28"/>
        </w:rPr>
      </w:pPr>
      <w:r>
        <w:rPr>
          <w:rFonts w:hint="eastAsia" w:ascii="宋体" w:hAnsi="宋体" w:cs="宋体"/>
          <w:sz w:val="28"/>
          <w:szCs w:val="28"/>
        </w:rPr>
        <w:t>发生重大保险事故（估计损失金额超过RMB100,000.00时）或甲、乙双方就赔付金额不能达成一致时，双方指定中衡保险公估股份有限公司或上海恒量</w:t>
      </w:r>
      <w:r>
        <w:rPr>
          <w:rFonts w:hint="eastAsia" w:ascii="宋体" w:hAnsi="宋体" w:cs="宋体"/>
          <w:bCs/>
          <w:sz w:val="28"/>
          <w:szCs w:val="28"/>
          <w:lang w:val="zh-CN"/>
        </w:rPr>
        <w:t>保险公估有限公司</w:t>
      </w:r>
      <w:r>
        <w:rPr>
          <w:rFonts w:hint="eastAsia" w:ascii="宋体" w:hAnsi="宋体" w:cs="宋体"/>
          <w:color w:val="000000"/>
          <w:sz w:val="28"/>
          <w:szCs w:val="28"/>
          <w:lang w:val="zh-CN"/>
        </w:rPr>
        <w:t>或其他经被保险人同意的保险公估公司</w:t>
      </w:r>
      <w:r>
        <w:rPr>
          <w:rFonts w:hint="eastAsia" w:ascii="宋体" w:hAnsi="宋体" w:cs="宋体"/>
          <w:sz w:val="28"/>
          <w:szCs w:val="28"/>
        </w:rPr>
        <w:t>作为理算师，以对损失进行合理的估损，乙方承担相应的损失理算费用。</w:t>
      </w:r>
    </w:p>
    <w:p>
      <w:pPr>
        <w:spacing w:line="360" w:lineRule="auto"/>
        <w:ind w:firstLine="560" w:firstLineChars="200"/>
        <w:rPr>
          <w:rFonts w:ascii="宋体" w:hAnsi="宋体" w:cs="宋体"/>
          <w:sz w:val="28"/>
          <w:szCs w:val="28"/>
        </w:rPr>
      </w:pPr>
      <w:r>
        <w:rPr>
          <w:rFonts w:hint="eastAsia" w:ascii="宋体" w:hAnsi="宋体" w:cs="宋体"/>
          <w:sz w:val="28"/>
          <w:szCs w:val="28"/>
        </w:rPr>
        <w:t>10、事故优先处理</w:t>
      </w:r>
    </w:p>
    <w:p>
      <w:pPr>
        <w:spacing w:line="360" w:lineRule="auto"/>
        <w:ind w:firstLine="560" w:firstLineChars="200"/>
        <w:rPr>
          <w:rFonts w:ascii="宋体" w:hAnsi="宋体" w:cs="宋体"/>
          <w:sz w:val="28"/>
          <w:szCs w:val="28"/>
        </w:rPr>
      </w:pPr>
      <w:r>
        <w:rPr>
          <w:rFonts w:hint="eastAsia" w:ascii="宋体" w:hAnsi="宋体" w:cs="宋体"/>
          <w:sz w:val="28"/>
          <w:szCs w:val="28"/>
        </w:rPr>
        <w:t>发生紧急事故时，被保险人可在乙方到达前先行处理。但请保留所有相关证明材料。</w:t>
      </w:r>
    </w:p>
    <w:p>
      <w:pPr>
        <w:spacing w:line="360" w:lineRule="auto"/>
        <w:ind w:firstLine="560" w:firstLineChars="200"/>
        <w:rPr>
          <w:rFonts w:ascii="宋体" w:hAnsi="宋体" w:cs="宋体"/>
          <w:sz w:val="28"/>
          <w:szCs w:val="28"/>
        </w:rPr>
      </w:pPr>
      <w:r>
        <w:rPr>
          <w:rFonts w:hint="eastAsia" w:ascii="宋体" w:hAnsi="宋体" w:cs="宋体"/>
          <w:sz w:val="28"/>
          <w:szCs w:val="28"/>
        </w:rPr>
        <w:t>若发生大面积自然灾害，在属于保险责任范围的情况下，乙方优先考虑并处理“江苏大生集团有限公司财产保险项目”的赔案。</w:t>
      </w:r>
    </w:p>
    <w:p>
      <w:pPr>
        <w:spacing w:line="360" w:lineRule="auto"/>
        <w:ind w:firstLine="560" w:firstLineChars="200"/>
        <w:rPr>
          <w:rFonts w:ascii="宋体" w:hAnsi="宋体" w:cs="宋体"/>
          <w:sz w:val="28"/>
          <w:szCs w:val="28"/>
        </w:rPr>
      </w:pPr>
      <w:r>
        <w:rPr>
          <w:rFonts w:hint="eastAsia" w:ascii="宋体" w:hAnsi="宋体" w:cs="宋体"/>
          <w:sz w:val="28"/>
          <w:szCs w:val="28"/>
        </w:rPr>
        <w:t>11、简化索赔手续</w:t>
      </w:r>
    </w:p>
    <w:p>
      <w:pPr>
        <w:spacing w:line="360" w:lineRule="auto"/>
        <w:ind w:firstLine="560" w:firstLineChars="200"/>
        <w:rPr>
          <w:rFonts w:ascii="宋体" w:hAnsi="宋体" w:cs="宋体"/>
          <w:sz w:val="28"/>
          <w:szCs w:val="28"/>
        </w:rPr>
      </w:pPr>
      <w:r>
        <w:rPr>
          <w:rFonts w:hint="eastAsia" w:ascii="宋体" w:hAnsi="宋体" w:cs="宋体"/>
          <w:sz w:val="28"/>
          <w:szCs w:val="28"/>
        </w:rPr>
        <w:t>（1）乙方应指定专人协助被保险人全程办理相关的索赔手续。</w:t>
      </w:r>
    </w:p>
    <w:p>
      <w:pPr>
        <w:spacing w:line="360" w:lineRule="auto"/>
        <w:ind w:firstLine="560" w:firstLineChars="200"/>
        <w:rPr>
          <w:rFonts w:ascii="宋体" w:hAnsi="宋体" w:cs="宋体"/>
          <w:sz w:val="28"/>
          <w:szCs w:val="28"/>
        </w:rPr>
      </w:pPr>
      <w:r>
        <w:rPr>
          <w:rFonts w:hint="eastAsia" w:ascii="宋体" w:hAnsi="宋体" w:cs="宋体"/>
          <w:sz w:val="28"/>
          <w:szCs w:val="28"/>
        </w:rPr>
        <w:t>（2）乙方将视赔案的具体情况，和被保险人充分协商简化理赔流程。</w:t>
      </w:r>
    </w:p>
    <w:p>
      <w:pPr>
        <w:spacing w:line="360" w:lineRule="auto"/>
        <w:ind w:firstLine="560" w:firstLineChars="200"/>
        <w:rPr>
          <w:rFonts w:ascii="宋体" w:hAnsi="宋体" w:cs="宋体"/>
          <w:sz w:val="28"/>
          <w:szCs w:val="28"/>
        </w:rPr>
      </w:pPr>
      <w:r>
        <w:rPr>
          <w:rFonts w:hint="eastAsia" w:ascii="宋体" w:hAnsi="宋体" w:cs="宋体"/>
          <w:sz w:val="28"/>
          <w:szCs w:val="28"/>
        </w:rPr>
        <w:t>（3）乙方应于接到出险通知后一个工作日内一次性提供索赔所需资料的书面清单，以避免反复准备索赔资料给被保险人正常工作可能带来的干扰。</w:t>
      </w:r>
    </w:p>
    <w:p>
      <w:pPr>
        <w:spacing w:line="360" w:lineRule="auto"/>
        <w:ind w:firstLine="560" w:firstLineChars="200"/>
        <w:rPr>
          <w:rFonts w:ascii="宋体" w:hAnsi="宋体" w:cs="宋体"/>
          <w:sz w:val="28"/>
          <w:szCs w:val="28"/>
        </w:rPr>
      </w:pPr>
      <w:r>
        <w:rPr>
          <w:rFonts w:hint="eastAsia" w:ascii="宋体" w:hAnsi="宋体" w:cs="宋体"/>
          <w:sz w:val="28"/>
          <w:szCs w:val="28"/>
        </w:rPr>
        <w:t>（4）在收到被保险人提供的索赔资料后，如果认为索赔资料不全或者对索赔资料有异议，应于一个工作日内及时反馈意见。</w:t>
      </w:r>
    </w:p>
    <w:p>
      <w:pPr>
        <w:spacing w:line="360" w:lineRule="auto"/>
        <w:ind w:firstLine="560" w:firstLineChars="200"/>
        <w:rPr>
          <w:rFonts w:ascii="宋体" w:hAnsi="宋体" w:cs="宋体"/>
          <w:sz w:val="28"/>
          <w:szCs w:val="28"/>
        </w:rPr>
      </w:pPr>
      <w:r>
        <w:rPr>
          <w:rFonts w:hint="eastAsia" w:ascii="宋体" w:hAnsi="宋体" w:cs="宋体"/>
          <w:sz w:val="28"/>
          <w:szCs w:val="28"/>
        </w:rPr>
        <w:t>12、保密约定</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乙方承诺严格遵循甲方各项保密制度，谨慎处理事故的发布，尽量缩小社会不良影响。 </w:t>
      </w:r>
    </w:p>
    <w:p>
      <w:pPr>
        <w:spacing w:line="360" w:lineRule="auto"/>
        <w:ind w:firstLine="560" w:firstLineChars="200"/>
        <w:rPr>
          <w:rFonts w:ascii="宋体" w:hAnsi="宋体" w:cs="宋体"/>
          <w:sz w:val="28"/>
          <w:szCs w:val="28"/>
        </w:rPr>
      </w:pPr>
    </w:p>
    <w:p>
      <w:pPr>
        <w:spacing w:line="360" w:lineRule="auto"/>
        <w:ind w:firstLine="562" w:firstLineChars="200"/>
        <w:rPr>
          <w:rFonts w:ascii="宋体" w:hAnsi="宋体" w:cs="宋体"/>
          <w:b/>
          <w:sz w:val="28"/>
        </w:rPr>
      </w:pPr>
      <w:r>
        <w:rPr>
          <w:rFonts w:hint="eastAsia" w:ascii="宋体" w:hAnsi="宋体" w:cs="宋体"/>
          <w:b/>
          <w:sz w:val="28"/>
        </w:rPr>
        <w:t>八、其他优惠条件</w:t>
      </w:r>
    </w:p>
    <w:p>
      <w:pPr>
        <w:spacing w:line="360" w:lineRule="auto"/>
        <w:ind w:firstLine="570"/>
        <w:rPr>
          <w:rFonts w:ascii="宋体" w:hAnsi="宋体" w:cs="宋体"/>
          <w:sz w:val="28"/>
        </w:rPr>
      </w:pPr>
      <w:r>
        <w:rPr>
          <w:rFonts w:hint="eastAsia" w:ascii="宋体" w:hAnsi="宋体" w:cs="宋体"/>
          <w:sz w:val="28"/>
        </w:rPr>
        <w:t>（参见投标文件“优惠条件汇总表”）。</w:t>
      </w:r>
    </w:p>
    <w:p>
      <w:pPr>
        <w:spacing w:line="360" w:lineRule="auto"/>
        <w:ind w:firstLine="570"/>
        <w:rPr>
          <w:rFonts w:ascii="宋体" w:hAnsi="宋体" w:cs="宋体"/>
          <w:sz w:val="28"/>
        </w:rPr>
      </w:pPr>
    </w:p>
    <w:p>
      <w:pPr>
        <w:spacing w:line="360" w:lineRule="auto"/>
        <w:ind w:firstLine="562" w:firstLineChars="200"/>
        <w:rPr>
          <w:rFonts w:ascii="宋体" w:hAnsi="宋体" w:cs="宋体"/>
          <w:b/>
          <w:sz w:val="28"/>
        </w:rPr>
      </w:pPr>
      <w:r>
        <w:rPr>
          <w:rFonts w:hint="eastAsia" w:ascii="宋体" w:hAnsi="宋体" w:cs="宋体"/>
          <w:b/>
          <w:sz w:val="28"/>
        </w:rPr>
        <w:t>九、一般条款</w:t>
      </w:r>
    </w:p>
    <w:p>
      <w:pPr>
        <w:spacing w:line="360" w:lineRule="auto"/>
        <w:ind w:firstLine="562"/>
        <w:rPr>
          <w:rFonts w:ascii="宋体" w:hAnsi="宋体" w:cs="宋体"/>
          <w:b/>
          <w:sz w:val="28"/>
        </w:rPr>
      </w:pPr>
      <w:r>
        <w:rPr>
          <w:rFonts w:hint="eastAsia" w:ascii="宋体" w:hAnsi="宋体" w:cs="宋体"/>
          <w:b/>
          <w:sz w:val="28"/>
        </w:rPr>
        <w:t>（一）合同有效期</w:t>
      </w:r>
    </w:p>
    <w:p>
      <w:pPr>
        <w:spacing w:line="360" w:lineRule="auto"/>
        <w:ind w:firstLine="555"/>
        <w:rPr>
          <w:rFonts w:ascii="宋体" w:hAnsi="宋体" w:cs="宋体"/>
          <w:sz w:val="28"/>
        </w:rPr>
      </w:pPr>
      <w:r>
        <w:rPr>
          <w:rFonts w:hint="eastAsia" w:ascii="宋体" w:hAnsi="宋体" w:cs="宋体"/>
          <w:sz w:val="28"/>
        </w:rPr>
        <w:t>本合同自签订之日起生效，并在保险有效期内持续有效。如果保险期限结束后，存在遗留问题，本合同继续有效，直至保单涉及的各项遗留事宜最终处理完毕时为止。</w:t>
      </w:r>
    </w:p>
    <w:p>
      <w:pPr>
        <w:spacing w:line="360" w:lineRule="auto"/>
        <w:ind w:firstLine="555"/>
        <w:rPr>
          <w:rFonts w:ascii="宋体" w:hAnsi="宋体" w:cs="宋体"/>
          <w:b/>
          <w:sz w:val="28"/>
        </w:rPr>
      </w:pPr>
      <w:r>
        <w:rPr>
          <w:rFonts w:hint="eastAsia" w:ascii="宋体" w:hAnsi="宋体" w:cs="宋体"/>
          <w:b/>
          <w:sz w:val="28"/>
        </w:rPr>
        <w:t>（二）合同的变更、解除和续订</w:t>
      </w:r>
    </w:p>
    <w:p>
      <w:pPr>
        <w:spacing w:line="360" w:lineRule="auto"/>
        <w:ind w:firstLine="560"/>
        <w:rPr>
          <w:rFonts w:ascii="宋体" w:hAnsi="宋体" w:cs="宋体"/>
          <w:sz w:val="28"/>
        </w:rPr>
      </w:pPr>
      <w:r>
        <w:rPr>
          <w:rFonts w:hint="eastAsia" w:ascii="宋体" w:hAnsi="宋体" w:cs="宋体"/>
          <w:sz w:val="28"/>
        </w:rPr>
        <w:t>本合同如有未尽事宜，经甲方和乙方协商后可随时以书面形式修改或补充，并作为本合同的组成部分，修改或补充部分的效力优于本合同相关内容。</w:t>
      </w:r>
    </w:p>
    <w:p>
      <w:pPr>
        <w:spacing w:line="360" w:lineRule="auto"/>
        <w:ind w:firstLine="560"/>
        <w:rPr>
          <w:rFonts w:ascii="宋体" w:hAnsi="宋体" w:cs="宋体"/>
          <w:sz w:val="28"/>
        </w:rPr>
      </w:pPr>
      <w:r>
        <w:rPr>
          <w:rFonts w:hint="eastAsia" w:ascii="宋体" w:hAnsi="宋体" w:cs="宋体"/>
          <w:sz w:val="28"/>
        </w:rPr>
        <w:t>甲方可以提前六十天通知乙方终止本合同，并注销保单。在此情况下，乙方应将按日比例计算的自保险单终止之日起的未到期保险费退还给甲方。乙方在保险期限内不得终止本保险单。</w:t>
      </w:r>
    </w:p>
    <w:p>
      <w:pPr>
        <w:spacing w:line="360" w:lineRule="auto"/>
        <w:ind w:firstLine="562"/>
        <w:rPr>
          <w:rFonts w:ascii="宋体" w:hAnsi="宋体" w:cs="宋体"/>
          <w:b/>
          <w:sz w:val="28"/>
        </w:rPr>
      </w:pPr>
      <w:r>
        <w:rPr>
          <w:rFonts w:hint="eastAsia" w:ascii="宋体" w:hAnsi="宋体" w:cs="宋体"/>
          <w:b/>
          <w:sz w:val="28"/>
        </w:rPr>
        <w:t>（三）保密条款</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除非下列情况，自本合同生效之日起，甲、乙双方不得将本合同涉及的所有有形、无形的信息及资料（包括但不限于双方的往来书面文字文件、电子邮件及其他信息资料等）泄露给第三方：</w:t>
      </w:r>
    </w:p>
    <w:p>
      <w:pPr>
        <w:pStyle w:val="8"/>
        <w:spacing w:line="360" w:lineRule="auto"/>
        <w:ind w:firstLine="560" w:firstLineChars="200"/>
        <w:rPr>
          <w:rFonts w:hint="eastAsia" w:ascii="宋体" w:hAnsi="宋体" w:eastAsia="宋体" w:cs="宋体"/>
          <w:kern w:val="2"/>
          <w:sz w:val="28"/>
          <w:szCs w:val="24"/>
          <w:lang w:val="en-US" w:eastAsia="zh-CN"/>
        </w:rPr>
      </w:pPr>
      <w:r>
        <w:rPr>
          <w:rFonts w:hint="eastAsia" w:ascii="宋体" w:hAnsi="宋体" w:cs="宋体"/>
          <w:kern w:val="2"/>
          <w:sz w:val="28"/>
          <w:szCs w:val="24"/>
        </w:rPr>
        <w:t>1．告诉给江泰保险经纪南通分公司、为执行本合同而提供相关服务的雇员或顾问，或再保险人、再保险经纪人，</w:t>
      </w:r>
      <w:r>
        <w:rPr>
          <w:rFonts w:hint="eastAsia" w:ascii="宋体" w:hAnsi="宋体" w:cs="宋体"/>
          <w:kern w:val="2"/>
          <w:sz w:val="28"/>
          <w:szCs w:val="24"/>
          <w:lang w:val="en-US" w:eastAsia="zh-CN"/>
        </w:rPr>
        <w:t>或</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2．应法律或司法管辖要求而提供，或</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3．经甲方和乙方各保险公司书面同意。</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本合同一方因过错造成泄密而给另一方造成损失的，过错一方承担经济赔偿责任。</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本合同终止时本条款继续并长期有效。</w:t>
      </w:r>
    </w:p>
    <w:p>
      <w:pPr>
        <w:pStyle w:val="8"/>
        <w:spacing w:line="360" w:lineRule="auto"/>
        <w:ind w:firstLine="562"/>
        <w:rPr>
          <w:rFonts w:ascii="宋体" w:hAnsi="宋体" w:cs="宋体"/>
          <w:b/>
          <w:sz w:val="28"/>
        </w:rPr>
      </w:pPr>
      <w:r>
        <w:rPr>
          <w:rFonts w:hint="eastAsia" w:ascii="宋体" w:hAnsi="宋体" w:cs="宋体"/>
          <w:b/>
          <w:sz w:val="28"/>
        </w:rPr>
        <w:t>（四）法律责任</w:t>
      </w:r>
    </w:p>
    <w:p>
      <w:pPr>
        <w:spacing w:line="360" w:lineRule="auto"/>
        <w:ind w:firstLine="555"/>
        <w:rPr>
          <w:rFonts w:ascii="宋体" w:hAnsi="宋体" w:cs="宋体"/>
          <w:sz w:val="28"/>
        </w:rPr>
      </w:pPr>
      <w:r>
        <w:rPr>
          <w:rFonts w:hint="eastAsia" w:ascii="宋体" w:hAnsi="宋体" w:cs="宋体"/>
          <w:sz w:val="28"/>
        </w:rPr>
        <w:t>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pPr>
        <w:spacing w:line="360" w:lineRule="auto"/>
        <w:ind w:firstLine="560" w:firstLineChars="200"/>
        <w:rPr>
          <w:rFonts w:ascii="宋体" w:hAnsi="宋体" w:cs="宋体"/>
          <w:sz w:val="28"/>
        </w:rPr>
      </w:pPr>
      <w:r>
        <w:rPr>
          <w:rFonts w:hint="eastAsia" w:ascii="宋体" w:hAnsi="宋体" w:cs="宋体"/>
          <w:sz w:val="28"/>
        </w:rPr>
        <w:t>若发生违约情形，违约方依法依约承担其相应法律责任后，除非守约方同意终止本合同的，本合同仍须继续履行。</w:t>
      </w:r>
    </w:p>
    <w:p>
      <w:pPr>
        <w:spacing w:line="360" w:lineRule="auto"/>
        <w:ind w:firstLine="562" w:firstLineChars="200"/>
        <w:rPr>
          <w:rFonts w:ascii="宋体" w:hAnsi="宋体" w:cs="宋体"/>
          <w:b/>
          <w:sz w:val="28"/>
        </w:rPr>
      </w:pPr>
      <w:r>
        <w:rPr>
          <w:rFonts w:hint="eastAsia" w:ascii="宋体" w:hAnsi="宋体" w:cs="宋体"/>
          <w:b/>
          <w:sz w:val="28"/>
        </w:rPr>
        <w:t>十、争议解决</w:t>
      </w:r>
    </w:p>
    <w:p>
      <w:pPr>
        <w:adjustRightInd w:val="0"/>
        <w:snapToGrid w:val="0"/>
        <w:spacing w:line="360" w:lineRule="auto"/>
        <w:ind w:firstLine="560" w:firstLineChars="200"/>
        <w:rPr>
          <w:rFonts w:ascii="宋体" w:hAnsi="宋体" w:cs="宋体"/>
          <w:sz w:val="28"/>
        </w:rPr>
      </w:pPr>
      <w:r>
        <w:rPr>
          <w:rFonts w:hint="eastAsia" w:ascii="宋体" w:hAnsi="宋体" w:cs="宋体"/>
          <w:sz w:val="28"/>
        </w:rPr>
        <w:t>甲乙双方之间的一切有关本合同的争议应通过友好协商解决。如协商无效，可向甲方所在地人民法院起诉解决。</w:t>
      </w:r>
    </w:p>
    <w:p>
      <w:pPr>
        <w:adjustRightInd w:val="0"/>
        <w:snapToGrid w:val="0"/>
        <w:spacing w:line="360" w:lineRule="auto"/>
        <w:ind w:firstLine="560" w:firstLineChars="200"/>
        <w:rPr>
          <w:rFonts w:ascii="宋体" w:hAnsi="宋体" w:cs="宋体"/>
          <w:sz w:val="28"/>
        </w:rPr>
      </w:pPr>
    </w:p>
    <w:p>
      <w:pPr>
        <w:spacing w:line="360" w:lineRule="auto"/>
        <w:ind w:firstLine="562" w:firstLineChars="200"/>
        <w:rPr>
          <w:rFonts w:ascii="宋体" w:hAnsi="宋体" w:cs="宋体"/>
          <w:b/>
          <w:sz w:val="28"/>
        </w:rPr>
      </w:pPr>
      <w:r>
        <w:rPr>
          <w:rFonts w:hint="eastAsia" w:ascii="宋体" w:hAnsi="宋体" w:cs="宋体"/>
          <w:b/>
          <w:sz w:val="28"/>
        </w:rPr>
        <w:t>十一、其他</w:t>
      </w:r>
    </w:p>
    <w:p>
      <w:pPr>
        <w:spacing w:line="360" w:lineRule="auto"/>
        <w:ind w:firstLine="560"/>
        <w:rPr>
          <w:rFonts w:ascii="宋体" w:hAnsi="宋体" w:cs="宋体"/>
          <w:sz w:val="28"/>
        </w:rPr>
      </w:pPr>
      <w:r>
        <w:rPr>
          <w:rFonts w:hint="eastAsia" w:ascii="宋体" w:hAnsi="宋体" w:cs="宋体"/>
          <w:sz w:val="28"/>
        </w:rPr>
        <w:t>1．乙方按本协议出具的正式保单作为本协议的有效组成部分，保单与本协议冲突之处，以本协议内容为准，甲、乙双方另有明确约定的情况除外。</w:t>
      </w:r>
    </w:p>
    <w:p>
      <w:pPr>
        <w:pStyle w:val="8"/>
        <w:snapToGrid w:val="0"/>
        <w:spacing w:line="360" w:lineRule="auto"/>
        <w:ind w:firstLine="560" w:firstLineChars="200"/>
        <w:rPr>
          <w:sz w:val="24"/>
        </w:rPr>
      </w:pPr>
      <w:r>
        <w:rPr>
          <w:rFonts w:hint="eastAsia" w:ascii="宋体" w:hAnsi="宋体" w:cs="宋体"/>
          <w:sz w:val="28"/>
        </w:rPr>
        <w:t>2．本协议</w:t>
      </w:r>
      <w:r>
        <w:rPr>
          <w:rFonts w:hint="eastAsia" w:ascii="宋体" w:hAnsi="宋体" w:cs="宋体"/>
          <w:sz w:val="28"/>
          <w:szCs w:val="28"/>
        </w:rPr>
        <w:t>一式*份，甲方和乙方、江泰保险经纪南通分公司各执一份</w:t>
      </w:r>
      <w:r>
        <w:rPr>
          <w:rFonts w:ascii="仿宋_GB2312" w:eastAsia="仿宋_GB2312"/>
          <w:sz w:val="28"/>
        </w:rPr>
        <w:t>。</w:t>
      </w:r>
    </w:p>
    <w:p>
      <w:bookmarkStart w:id="296" w:name="_Toc32431"/>
      <w:r>
        <w:br w:type="page"/>
      </w:r>
    </w:p>
    <w:p>
      <w:pPr>
        <w:pStyle w:val="5"/>
        <w:jc w:val="center"/>
        <w:rPr>
          <w:rFonts w:ascii="Times New Roman" w:hAnsi="Times New Roman"/>
        </w:rPr>
      </w:pPr>
      <w:bookmarkStart w:id="297" w:name="_Toc28477"/>
      <w:r>
        <w:rPr>
          <w:rFonts w:ascii="Times New Roman" w:hAnsi="Times New Roman"/>
        </w:rPr>
        <w:t>第四部分  投标文件编制格式</w:t>
      </w:r>
      <w:bookmarkEnd w:id="296"/>
      <w:bookmarkEnd w:id="297"/>
    </w:p>
    <w:p>
      <w:pPr>
        <w:snapToGrid w:val="0"/>
        <w:spacing w:line="360" w:lineRule="auto"/>
        <w:jc w:val="center"/>
        <w:rPr>
          <w:sz w:val="28"/>
        </w:rPr>
      </w:pPr>
    </w:p>
    <w:p>
      <w:pPr>
        <w:pStyle w:val="8"/>
        <w:snapToGrid w:val="0"/>
        <w:spacing w:line="360" w:lineRule="auto"/>
        <w:ind w:firstLine="0"/>
        <w:jc w:val="center"/>
        <w:rPr>
          <w:b/>
          <w:bCs/>
          <w:sz w:val="28"/>
        </w:rPr>
      </w:pPr>
      <w:r>
        <w:rPr>
          <w:b/>
          <w:bCs/>
          <w:sz w:val="28"/>
        </w:rPr>
        <w:t>投标文件目录(格式)</w:t>
      </w:r>
    </w:p>
    <w:p>
      <w:pPr>
        <w:pStyle w:val="8"/>
        <w:snapToGrid w:val="0"/>
        <w:spacing w:line="360" w:lineRule="auto"/>
        <w:ind w:firstLine="0"/>
        <w:jc w:val="center"/>
        <w:rPr>
          <w:b/>
          <w:sz w:val="28"/>
        </w:rPr>
      </w:pPr>
      <w:r>
        <w:rPr>
          <w:b/>
          <w:sz w:val="28"/>
        </w:rPr>
        <w:t>目     录</w:t>
      </w:r>
    </w:p>
    <w:p>
      <w:pPr>
        <w:pStyle w:val="8"/>
        <w:snapToGrid w:val="0"/>
        <w:spacing w:line="360" w:lineRule="auto"/>
        <w:ind w:firstLine="0"/>
        <w:jc w:val="distribute"/>
        <w:rPr>
          <w:b/>
          <w:bCs/>
          <w:sz w:val="28"/>
        </w:rPr>
      </w:pPr>
      <w:r>
        <w:rPr>
          <w:b/>
          <w:bCs/>
          <w:sz w:val="28"/>
        </w:rPr>
        <w:t>一、投标报价书………………………………………………………页码</w:t>
      </w:r>
    </w:p>
    <w:p>
      <w:pPr>
        <w:pStyle w:val="8"/>
        <w:snapToGrid w:val="0"/>
        <w:spacing w:line="360" w:lineRule="auto"/>
        <w:ind w:firstLine="0"/>
        <w:jc w:val="distribute"/>
        <w:rPr>
          <w:b/>
          <w:bCs/>
          <w:sz w:val="28"/>
        </w:rPr>
      </w:pPr>
      <w:r>
        <w:rPr>
          <w:b/>
          <w:bCs/>
          <w:sz w:val="28"/>
        </w:rPr>
        <w:t>二、投标承诺函……………………………………………………页码</w:t>
      </w:r>
    </w:p>
    <w:p>
      <w:pPr>
        <w:pStyle w:val="8"/>
        <w:snapToGrid w:val="0"/>
        <w:spacing w:line="360" w:lineRule="auto"/>
        <w:ind w:firstLine="0"/>
        <w:jc w:val="distribute"/>
        <w:rPr>
          <w:b/>
          <w:bCs/>
          <w:sz w:val="28"/>
        </w:rPr>
      </w:pPr>
      <w:r>
        <w:rPr>
          <w:b/>
          <w:bCs/>
          <w:sz w:val="28"/>
        </w:rPr>
        <w:t>三、法定代表人授权书……………………………………………页码</w:t>
      </w:r>
    </w:p>
    <w:p>
      <w:pPr>
        <w:pStyle w:val="8"/>
        <w:snapToGrid w:val="0"/>
        <w:spacing w:line="360" w:lineRule="auto"/>
        <w:ind w:firstLine="0"/>
        <w:jc w:val="distribute"/>
        <w:rPr>
          <w:b/>
          <w:bCs/>
          <w:sz w:val="28"/>
        </w:rPr>
      </w:pPr>
      <w:r>
        <w:rPr>
          <w:b/>
          <w:bCs/>
          <w:sz w:val="28"/>
        </w:rPr>
        <w:t>四、差异条件汇总表…………………………………………………页码</w:t>
      </w:r>
    </w:p>
    <w:p>
      <w:pPr>
        <w:pStyle w:val="8"/>
        <w:snapToGrid w:val="0"/>
        <w:spacing w:line="360" w:lineRule="auto"/>
        <w:ind w:firstLine="0"/>
        <w:jc w:val="distribute"/>
        <w:rPr>
          <w:b/>
          <w:sz w:val="28"/>
        </w:rPr>
      </w:pPr>
      <w:r>
        <w:rPr>
          <w:b/>
          <w:sz w:val="28"/>
        </w:rPr>
        <w:t>五、优惠条件汇总表 …………</w:t>
      </w:r>
      <w:r>
        <w:rPr>
          <w:b/>
          <w:bCs/>
          <w:sz w:val="28"/>
        </w:rPr>
        <w:t>…</w:t>
      </w:r>
      <w:r>
        <w:rPr>
          <w:b/>
          <w:sz w:val="28"/>
        </w:rPr>
        <w:t>…………………………………页码</w:t>
      </w:r>
    </w:p>
    <w:p>
      <w:pPr>
        <w:pStyle w:val="8"/>
        <w:snapToGrid w:val="0"/>
        <w:spacing w:line="360" w:lineRule="auto"/>
        <w:ind w:firstLine="0"/>
        <w:jc w:val="distribute"/>
        <w:rPr>
          <w:b/>
          <w:sz w:val="28"/>
        </w:rPr>
      </w:pPr>
      <w:r>
        <w:rPr>
          <w:b/>
          <w:sz w:val="28"/>
        </w:rPr>
        <w:t>六、保险服务承诺…</w:t>
      </w:r>
      <w:r>
        <w:rPr>
          <w:b/>
          <w:bCs/>
          <w:sz w:val="28"/>
        </w:rPr>
        <w:t>…</w:t>
      </w:r>
      <w:r>
        <w:rPr>
          <w:b/>
          <w:sz w:val="28"/>
        </w:rPr>
        <w:t>………………………………………………页码</w:t>
      </w:r>
    </w:p>
    <w:p>
      <w:pPr>
        <w:pStyle w:val="8"/>
        <w:snapToGrid w:val="0"/>
        <w:spacing w:line="360" w:lineRule="auto"/>
        <w:ind w:firstLine="0"/>
        <w:jc w:val="distribute"/>
        <w:rPr>
          <w:b/>
          <w:sz w:val="28"/>
        </w:rPr>
      </w:pPr>
      <w:r>
        <w:rPr>
          <w:rFonts w:hint="eastAsia"/>
          <w:b/>
          <w:sz w:val="28"/>
        </w:rPr>
        <w:t>七</w:t>
      </w:r>
      <w:r>
        <w:rPr>
          <w:b/>
          <w:sz w:val="28"/>
        </w:rPr>
        <w:t>、</w:t>
      </w:r>
      <w:r>
        <w:rPr>
          <w:rFonts w:hint="eastAsia"/>
          <w:b/>
          <w:sz w:val="28"/>
        </w:rPr>
        <w:t>保险</w:t>
      </w:r>
      <w:r>
        <w:rPr>
          <w:b/>
          <w:sz w:val="28"/>
        </w:rPr>
        <w:t>经纪佣金确认函………………………………页码</w:t>
      </w:r>
    </w:p>
    <w:p>
      <w:pPr>
        <w:pStyle w:val="8"/>
        <w:snapToGrid w:val="0"/>
        <w:spacing w:line="360" w:lineRule="auto"/>
        <w:ind w:firstLine="0"/>
        <w:jc w:val="distribute"/>
        <w:rPr>
          <w:b/>
          <w:sz w:val="28"/>
        </w:rPr>
      </w:pPr>
      <w:r>
        <w:rPr>
          <w:rFonts w:hint="eastAsia"/>
          <w:b/>
          <w:sz w:val="28"/>
        </w:rPr>
        <w:t>八</w:t>
      </w:r>
      <w:r>
        <w:rPr>
          <w:b/>
          <w:sz w:val="28"/>
        </w:rPr>
        <w:t>、公司资信及承保理赔情况汇总表………………………………页码</w:t>
      </w:r>
    </w:p>
    <w:p>
      <w:pPr>
        <w:pStyle w:val="8"/>
        <w:snapToGrid w:val="0"/>
        <w:spacing w:line="360" w:lineRule="auto"/>
        <w:ind w:firstLine="0"/>
        <w:jc w:val="distribute"/>
        <w:rPr>
          <w:b/>
          <w:sz w:val="28"/>
        </w:rPr>
      </w:pPr>
      <w:r>
        <w:rPr>
          <w:rFonts w:hint="eastAsia"/>
          <w:b/>
          <w:sz w:val="28"/>
        </w:rPr>
        <w:t>九</w:t>
      </w:r>
      <w:r>
        <w:rPr>
          <w:b/>
          <w:sz w:val="28"/>
        </w:rPr>
        <w:t>、近</w:t>
      </w:r>
      <w:r>
        <w:rPr>
          <w:rFonts w:hint="eastAsia"/>
          <w:b/>
          <w:sz w:val="28"/>
        </w:rPr>
        <w:t>三</w:t>
      </w:r>
      <w:r>
        <w:rPr>
          <w:b/>
          <w:sz w:val="28"/>
        </w:rPr>
        <w:t>年（20</w:t>
      </w:r>
      <w:r>
        <w:rPr>
          <w:rFonts w:hint="eastAsia"/>
          <w:b/>
          <w:sz w:val="28"/>
          <w:lang w:val="en-US" w:eastAsia="zh-CN"/>
        </w:rPr>
        <w:t>20</w:t>
      </w:r>
      <w:r>
        <w:rPr>
          <w:b/>
          <w:sz w:val="28"/>
        </w:rPr>
        <w:t>年以来）同类项目经验列表………………页码</w:t>
      </w:r>
    </w:p>
    <w:p>
      <w:pPr>
        <w:pStyle w:val="8"/>
        <w:snapToGrid w:val="0"/>
        <w:spacing w:line="360" w:lineRule="auto"/>
        <w:ind w:firstLine="0"/>
        <w:jc w:val="distribute"/>
        <w:rPr>
          <w:b/>
          <w:bCs/>
          <w:sz w:val="28"/>
        </w:rPr>
      </w:pPr>
      <w:r>
        <w:rPr>
          <w:b/>
          <w:bCs/>
          <w:sz w:val="28"/>
        </w:rPr>
        <w:t>十、投标人资质证明文件…………………………………………页码</w:t>
      </w:r>
    </w:p>
    <w:p>
      <w:pPr>
        <w:pStyle w:val="8"/>
        <w:snapToGrid w:val="0"/>
        <w:spacing w:line="360" w:lineRule="auto"/>
        <w:ind w:firstLine="0"/>
        <w:jc w:val="distribute"/>
        <w:rPr>
          <w:b/>
          <w:bCs/>
          <w:sz w:val="28"/>
        </w:rPr>
      </w:pPr>
      <w:r>
        <w:rPr>
          <w:b/>
          <w:bCs/>
          <w:sz w:val="28"/>
        </w:rPr>
        <w:t>十</w:t>
      </w:r>
      <w:r>
        <w:rPr>
          <w:rFonts w:hint="eastAsia"/>
          <w:b/>
          <w:bCs/>
          <w:sz w:val="28"/>
        </w:rPr>
        <w:t>一</w:t>
      </w:r>
      <w:r>
        <w:rPr>
          <w:b/>
          <w:bCs/>
          <w:sz w:val="28"/>
        </w:rPr>
        <w:t>、其他有必要提供的资料……………………………………页码</w:t>
      </w:r>
    </w:p>
    <w:p>
      <w:pPr>
        <w:pStyle w:val="8"/>
        <w:snapToGrid w:val="0"/>
        <w:spacing w:line="360" w:lineRule="auto"/>
        <w:ind w:firstLine="0"/>
        <w:jc w:val="distribute"/>
        <w:rPr>
          <w:sz w:val="28"/>
        </w:rPr>
      </w:pPr>
    </w:p>
    <w:p>
      <w:pPr>
        <w:pStyle w:val="8"/>
        <w:snapToGrid w:val="0"/>
        <w:spacing w:line="360" w:lineRule="auto"/>
        <w:ind w:firstLine="0"/>
        <w:jc w:val="distribute"/>
        <w:rPr>
          <w:sz w:val="28"/>
        </w:rPr>
      </w:pPr>
    </w:p>
    <w:p>
      <w:pPr>
        <w:pStyle w:val="6"/>
        <w:snapToGrid w:val="0"/>
        <w:spacing w:before="120" w:after="120" w:line="240" w:lineRule="auto"/>
        <w:jc w:val="center"/>
        <w:rPr>
          <w:b w:val="0"/>
          <w:bCs w:val="0"/>
          <w:sz w:val="28"/>
        </w:rPr>
        <w:sectPr>
          <w:pgSz w:w="11906" w:h="16838"/>
          <w:pgMar w:top="1440" w:right="1800" w:bottom="1440" w:left="1800" w:header="851" w:footer="992" w:gutter="0"/>
          <w:cols w:space="720" w:num="1"/>
          <w:titlePg/>
          <w:docGrid w:linePitch="312" w:charSpace="0"/>
        </w:sectPr>
      </w:pPr>
      <w:r>
        <w:rPr>
          <w:b w:val="0"/>
          <w:bCs w:val="0"/>
          <w:sz w:val="28"/>
        </w:rPr>
        <w:br w:type="page"/>
      </w:r>
      <w:bookmarkStart w:id="298" w:name="_Toc11553"/>
      <w:bookmarkStart w:id="299" w:name="_Toc401000063"/>
    </w:p>
    <w:p>
      <w:pPr>
        <w:pStyle w:val="6"/>
        <w:snapToGrid w:val="0"/>
        <w:spacing w:before="120" w:after="120" w:line="360" w:lineRule="auto"/>
        <w:jc w:val="center"/>
        <w:rPr>
          <w:sz w:val="28"/>
          <w:szCs w:val="28"/>
        </w:rPr>
      </w:pPr>
      <w:bookmarkStart w:id="300" w:name="_Toc28712"/>
      <w:r>
        <w:rPr>
          <w:sz w:val="28"/>
          <w:szCs w:val="28"/>
        </w:rPr>
        <w:t>一、投标报价书</w:t>
      </w:r>
      <w:bookmarkEnd w:id="298"/>
      <w:bookmarkEnd w:id="299"/>
      <w:bookmarkEnd w:id="300"/>
    </w:p>
    <w:p>
      <w:pPr>
        <w:pStyle w:val="8"/>
        <w:snapToGrid w:val="0"/>
        <w:spacing w:line="360" w:lineRule="auto"/>
        <w:ind w:firstLine="0"/>
        <w:rPr>
          <w:b/>
          <w:bCs/>
          <w:sz w:val="24"/>
        </w:rPr>
      </w:pPr>
      <w:r>
        <w:rPr>
          <w:rFonts w:hint="eastAsia"/>
          <w:b/>
          <w:bCs/>
          <w:sz w:val="24"/>
        </w:rPr>
        <w:t>江苏大生集团有限公司</w:t>
      </w:r>
    </w:p>
    <w:p>
      <w:pPr>
        <w:pStyle w:val="8"/>
        <w:snapToGrid w:val="0"/>
        <w:spacing w:line="360" w:lineRule="auto"/>
        <w:ind w:firstLine="0"/>
        <w:rPr>
          <w:rFonts w:hint="default"/>
          <w:b/>
          <w:bCs/>
          <w:sz w:val="24"/>
          <w:lang w:val="en-US" w:eastAsia="zh-CN"/>
        </w:rPr>
      </w:pPr>
      <w:r>
        <w:rPr>
          <w:rFonts w:hint="eastAsia"/>
          <w:b/>
          <w:bCs/>
          <w:sz w:val="24"/>
          <w:lang w:val="en-US" w:eastAsia="zh-CN"/>
        </w:rPr>
        <w:t>江泰保险经纪股份有限公司南通分公司：</w:t>
      </w:r>
    </w:p>
    <w:p>
      <w:pPr>
        <w:pStyle w:val="8"/>
        <w:snapToGrid w:val="0"/>
        <w:spacing w:line="360" w:lineRule="auto"/>
        <w:ind w:firstLine="480" w:firstLineChars="200"/>
        <w:rPr>
          <w:sz w:val="24"/>
        </w:rPr>
      </w:pPr>
      <w:r>
        <w:rPr>
          <w:sz w:val="24"/>
        </w:rPr>
        <w:t>经我方认真研究与考虑，现正式对“</w:t>
      </w:r>
      <w:r>
        <w:rPr>
          <w:rFonts w:hint="eastAsia" w:ascii="宋体" w:hAnsi="宋体" w:cs="宋体"/>
          <w:sz w:val="24"/>
        </w:rPr>
        <w:t>江苏大生集团有限公司</w:t>
      </w:r>
      <w:r>
        <w:rPr>
          <w:rFonts w:hint="eastAsia" w:ascii="宋体" w:hAnsi="宋体" w:cs="宋体"/>
          <w:sz w:val="24"/>
          <w:lang w:val="en-US" w:eastAsia="zh-CN"/>
        </w:rPr>
        <w:t>部分子公司（合肥、滨州、聊城）2023年度</w:t>
      </w:r>
      <w:r>
        <w:rPr>
          <w:rFonts w:hint="eastAsia" w:ascii="宋体" w:hAnsi="宋体" w:cs="宋体"/>
          <w:sz w:val="24"/>
        </w:rPr>
        <w:t>财产保险项目</w:t>
      </w:r>
      <w:r>
        <w:rPr>
          <w:sz w:val="24"/>
        </w:rPr>
        <w:t>”</w:t>
      </w:r>
      <w:r>
        <w:rPr>
          <w:rFonts w:hint="eastAsia"/>
          <w:sz w:val="24"/>
        </w:rPr>
        <w:t>财产综合险、机器损坏险</w:t>
      </w:r>
      <w:r>
        <w:rPr>
          <w:sz w:val="24"/>
        </w:rPr>
        <w:t>的保险报价如下：</w:t>
      </w:r>
    </w:p>
    <w:tbl>
      <w:tblPr>
        <w:tblStyle w:val="24"/>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712"/>
        <w:gridCol w:w="2821"/>
        <w:gridCol w:w="1234"/>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83" w:type="dxa"/>
            <w:shd w:val="clear" w:color="auto" w:fill="E6E6E6"/>
            <w:vAlign w:val="center"/>
          </w:tcPr>
          <w:p>
            <w:pPr>
              <w:pStyle w:val="8"/>
              <w:snapToGrid w:val="0"/>
              <w:spacing w:before="156" w:beforeLines="50" w:line="360" w:lineRule="auto"/>
              <w:ind w:firstLine="0"/>
              <w:jc w:val="center"/>
              <w:rPr>
                <w:b/>
                <w:kern w:val="2"/>
                <w:szCs w:val="21"/>
              </w:rPr>
            </w:pPr>
            <w:bookmarkStart w:id="301" w:name="OLE_LINK4"/>
            <w:r>
              <w:rPr>
                <w:b/>
                <w:kern w:val="2"/>
                <w:szCs w:val="21"/>
              </w:rPr>
              <w:t>险种</w:t>
            </w:r>
          </w:p>
        </w:tc>
        <w:tc>
          <w:tcPr>
            <w:tcW w:w="1712" w:type="dxa"/>
            <w:shd w:val="clear" w:color="auto" w:fill="E6E6E6"/>
            <w:vAlign w:val="center"/>
          </w:tcPr>
          <w:p>
            <w:pPr>
              <w:pStyle w:val="8"/>
              <w:snapToGrid w:val="0"/>
              <w:spacing w:before="156" w:beforeLines="50" w:line="360" w:lineRule="auto"/>
              <w:ind w:firstLine="0"/>
              <w:jc w:val="center"/>
              <w:rPr>
                <w:b/>
                <w:kern w:val="2"/>
                <w:szCs w:val="21"/>
              </w:rPr>
            </w:pPr>
            <w:r>
              <w:rPr>
                <w:b/>
                <w:kern w:val="2"/>
                <w:szCs w:val="21"/>
              </w:rPr>
              <w:t>项目</w:t>
            </w:r>
          </w:p>
        </w:tc>
        <w:tc>
          <w:tcPr>
            <w:tcW w:w="2821" w:type="dxa"/>
            <w:shd w:val="clear" w:color="auto" w:fill="E6E6E6"/>
            <w:vAlign w:val="center"/>
          </w:tcPr>
          <w:p>
            <w:pPr>
              <w:pStyle w:val="8"/>
              <w:snapToGrid w:val="0"/>
              <w:spacing w:before="156" w:beforeLines="50" w:line="360" w:lineRule="auto"/>
              <w:ind w:firstLine="0"/>
              <w:jc w:val="center"/>
              <w:rPr>
                <w:b/>
                <w:kern w:val="2"/>
                <w:szCs w:val="21"/>
              </w:rPr>
            </w:pPr>
            <w:r>
              <w:rPr>
                <w:b/>
                <w:kern w:val="2"/>
                <w:szCs w:val="21"/>
              </w:rPr>
              <w:t>保险金额/赔偿限额</w:t>
            </w:r>
          </w:p>
        </w:tc>
        <w:tc>
          <w:tcPr>
            <w:tcW w:w="1234" w:type="dxa"/>
            <w:shd w:val="clear" w:color="auto" w:fill="E6E6E6"/>
            <w:vAlign w:val="center"/>
          </w:tcPr>
          <w:p>
            <w:pPr>
              <w:pStyle w:val="8"/>
              <w:snapToGrid w:val="0"/>
              <w:spacing w:before="156" w:beforeLines="50" w:line="360" w:lineRule="auto"/>
              <w:ind w:firstLine="0"/>
              <w:jc w:val="center"/>
              <w:rPr>
                <w:b/>
                <w:kern w:val="2"/>
                <w:szCs w:val="21"/>
              </w:rPr>
            </w:pPr>
            <w:r>
              <w:rPr>
                <w:rFonts w:hint="eastAsia"/>
                <w:b/>
                <w:kern w:val="2"/>
                <w:szCs w:val="21"/>
              </w:rPr>
              <w:t>保险</w:t>
            </w:r>
            <w:r>
              <w:rPr>
                <w:b/>
                <w:kern w:val="2"/>
                <w:szCs w:val="21"/>
              </w:rPr>
              <w:t>费率（‰）</w:t>
            </w:r>
          </w:p>
        </w:tc>
        <w:tc>
          <w:tcPr>
            <w:tcW w:w="1693" w:type="dxa"/>
            <w:shd w:val="clear" w:color="auto" w:fill="E6E6E6"/>
            <w:vAlign w:val="center"/>
          </w:tcPr>
          <w:p>
            <w:pPr>
              <w:pStyle w:val="8"/>
              <w:snapToGrid w:val="0"/>
              <w:spacing w:before="156" w:beforeLines="50" w:line="360" w:lineRule="auto"/>
              <w:ind w:firstLine="422" w:firstLineChars="200"/>
              <w:jc w:val="center"/>
              <w:rPr>
                <w:b/>
                <w:kern w:val="2"/>
                <w:szCs w:val="21"/>
              </w:rPr>
            </w:pPr>
            <w:r>
              <w:rPr>
                <w:b/>
                <w:kern w:val="2"/>
                <w:szCs w:val="21"/>
              </w:rPr>
              <w:t>保费（元）</w:t>
            </w:r>
          </w:p>
        </w:tc>
      </w:tr>
      <w:bookmarkEnd w:id="3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583" w:type="dxa"/>
            <w:vAlign w:val="center"/>
          </w:tcPr>
          <w:p>
            <w:pPr>
              <w:pStyle w:val="8"/>
              <w:spacing w:before="156" w:beforeLines="50" w:line="300" w:lineRule="exact"/>
              <w:ind w:firstLine="0"/>
              <w:rPr>
                <w:b/>
                <w:bCs/>
                <w:kern w:val="2"/>
                <w:szCs w:val="21"/>
              </w:rPr>
            </w:pPr>
            <w:r>
              <w:rPr>
                <w:rFonts w:hint="eastAsia"/>
                <w:b/>
                <w:bCs/>
                <w:kern w:val="2"/>
                <w:szCs w:val="21"/>
              </w:rPr>
              <w:t>财产综合险</w:t>
            </w:r>
          </w:p>
        </w:tc>
        <w:tc>
          <w:tcPr>
            <w:tcW w:w="1712" w:type="dxa"/>
            <w:vAlign w:val="center"/>
          </w:tcPr>
          <w:p>
            <w:pPr>
              <w:pStyle w:val="8"/>
              <w:spacing w:before="156" w:beforeLines="50" w:line="300" w:lineRule="exact"/>
              <w:ind w:firstLine="0"/>
              <w:jc w:val="center"/>
              <w:rPr>
                <w:kern w:val="2"/>
                <w:szCs w:val="21"/>
              </w:rPr>
            </w:pPr>
          </w:p>
        </w:tc>
        <w:tc>
          <w:tcPr>
            <w:tcW w:w="2821" w:type="dxa"/>
            <w:vAlign w:val="center"/>
          </w:tcPr>
          <w:p>
            <w:pPr>
              <w:pStyle w:val="8"/>
              <w:spacing w:before="156" w:beforeLines="50" w:line="240" w:lineRule="auto"/>
              <w:ind w:firstLine="0"/>
              <w:jc w:val="center"/>
              <w:rPr>
                <w:rFonts w:ascii="宋体" w:hAnsi="宋体" w:cs="宋体"/>
                <w:bCs/>
                <w:kern w:val="2"/>
                <w:szCs w:val="21"/>
              </w:rPr>
            </w:pPr>
          </w:p>
        </w:tc>
        <w:tc>
          <w:tcPr>
            <w:tcW w:w="1234" w:type="dxa"/>
            <w:vAlign w:val="center"/>
          </w:tcPr>
          <w:p>
            <w:pPr>
              <w:pStyle w:val="8"/>
              <w:spacing w:before="156" w:beforeLines="50" w:line="300" w:lineRule="exact"/>
              <w:ind w:firstLine="0"/>
              <w:jc w:val="center"/>
              <w:rPr>
                <w:kern w:val="2"/>
                <w:szCs w:val="21"/>
              </w:rPr>
            </w:pPr>
          </w:p>
        </w:tc>
        <w:tc>
          <w:tcPr>
            <w:tcW w:w="1693" w:type="dxa"/>
            <w:vAlign w:val="center"/>
          </w:tcPr>
          <w:p>
            <w:pPr>
              <w:pStyle w:val="8"/>
              <w:spacing w:before="156" w:beforeLines="50" w:line="300" w:lineRule="exact"/>
              <w:ind w:firstLine="0"/>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583" w:type="dxa"/>
            <w:vAlign w:val="center"/>
          </w:tcPr>
          <w:p>
            <w:pPr>
              <w:pStyle w:val="8"/>
              <w:spacing w:before="156" w:beforeLines="50" w:line="300" w:lineRule="exact"/>
              <w:ind w:firstLine="0"/>
              <w:rPr>
                <w:b/>
                <w:bCs/>
                <w:kern w:val="2"/>
                <w:szCs w:val="21"/>
              </w:rPr>
            </w:pPr>
            <w:r>
              <w:rPr>
                <w:rFonts w:hint="eastAsia"/>
                <w:b/>
                <w:bCs/>
                <w:kern w:val="2"/>
                <w:szCs w:val="21"/>
              </w:rPr>
              <w:t>机器损坏险</w:t>
            </w:r>
          </w:p>
        </w:tc>
        <w:tc>
          <w:tcPr>
            <w:tcW w:w="1712" w:type="dxa"/>
            <w:vAlign w:val="center"/>
          </w:tcPr>
          <w:p>
            <w:pPr>
              <w:pStyle w:val="8"/>
              <w:spacing w:before="156" w:beforeLines="50" w:line="300" w:lineRule="exact"/>
              <w:ind w:firstLine="0"/>
              <w:jc w:val="center"/>
              <w:rPr>
                <w:kern w:val="2"/>
                <w:szCs w:val="21"/>
              </w:rPr>
            </w:pPr>
          </w:p>
        </w:tc>
        <w:tc>
          <w:tcPr>
            <w:tcW w:w="2821" w:type="dxa"/>
            <w:vAlign w:val="center"/>
          </w:tcPr>
          <w:p>
            <w:pPr>
              <w:pStyle w:val="8"/>
              <w:spacing w:before="156" w:beforeLines="50" w:line="240" w:lineRule="auto"/>
              <w:ind w:firstLine="0"/>
              <w:jc w:val="center"/>
              <w:rPr>
                <w:rFonts w:ascii="宋体" w:hAnsi="宋体" w:cs="宋体"/>
                <w:szCs w:val="21"/>
              </w:rPr>
            </w:pPr>
          </w:p>
          <w:p>
            <w:pPr>
              <w:pStyle w:val="8"/>
              <w:spacing w:before="156" w:beforeLines="50" w:line="300" w:lineRule="exact"/>
              <w:ind w:firstLine="0"/>
              <w:jc w:val="center"/>
              <w:rPr>
                <w:rFonts w:ascii="宋体" w:hAnsi="宋体" w:cs="宋体"/>
                <w:bCs/>
                <w:kern w:val="2"/>
                <w:szCs w:val="21"/>
              </w:rPr>
            </w:pPr>
          </w:p>
        </w:tc>
        <w:tc>
          <w:tcPr>
            <w:tcW w:w="1234" w:type="dxa"/>
            <w:vAlign w:val="center"/>
          </w:tcPr>
          <w:p>
            <w:pPr>
              <w:pStyle w:val="8"/>
              <w:spacing w:before="156" w:beforeLines="50" w:line="300" w:lineRule="exact"/>
              <w:ind w:firstLine="0"/>
              <w:jc w:val="center"/>
              <w:rPr>
                <w:bCs/>
                <w:kern w:val="2"/>
                <w:szCs w:val="21"/>
              </w:rPr>
            </w:pPr>
          </w:p>
        </w:tc>
        <w:tc>
          <w:tcPr>
            <w:tcW w:w="1693" w:type="dxa"/>
            <w:vAlign w:val="center"/>
          </w:tcPr>
          <w:p>
            <w:pPr>
              <w:pStyle w:val="8"/>
              <w:spacing w:before="156" w:beforeLines="50" w:line="300" w:lineRule="exact"/>
              <w:ind w:firstLine="0"/>
              <w:jc w:val="center"/>
              <w:rPr>
                <w:b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295" w:type="dxa"/>
            <w:gridSpan w:val="2"/>
            <w:vAlign w:val="center"/>
          </w:tcPr>
          <w:p>
            <w:pPr>
              <w:pStyle w:val="8"/>
              <w:spacing w:before="156" w:beforeLines="50" w:line="300" w:lineRule="exact"/>
              <w:ind w:firstLine="0"/>
              <w:jc w:val="center"/>
              <w:rPr>
                <w:kern w:val="2"/>
                <w:szCs w:val="21"/>
              </w:rPr>
            </w:pPr>
            <w:r>
              <w:rPr>
                <w:rFonts w:hint="eastAsia"/>
                <w:b/>
                <w:bCs/>
                <w:kern w:val="2"/>
                <w:szCs w:val="21"/>
              </w:rPr>
              <w:t>合计</w:t>
            </w:r>
          </w:p>
        </w:tc>
        <w:tc>
          <w:tcPr>
            <w:tcW w:w="2821" w:type="dxa"/>
            <w:vAlign w:val="center"/>
          </w:tcPr>
          <w:p>
            <w:pPr>
              <w:pStyle w:val="8"/>
              <w:spacing w:before="156" w:beforeLines="50" w:line="300" w:lineRule="exact"/>
              <w:ind w:firstLine="0"/>
              <w:jc w:val="center"/>
              <w:rPr>
                <w:rFonts w:ascii="宋体" w:hAnsi="宋体" w:cs="宋体"/>
                <w:bCs/>
                <w:kern w:val="2"/>
                <w:szCs w:val="21"/>
              </w:rPr>
            </w:pPr>
          </w:p>
        </w:tc>
        <w:tc>
          <w:tcPr>
            <w:tcW w:w="1234" w:type="dxa"/>
            <w:vAlign w:val="center"/>
          </w:tcPr>
          <w:p>
            <w:pPr>
              <w:pStyle w:val="8"/>
              <w:spacing w:before="156" w:beforeLines="50" w:line="300" w:lineRule="exact"/>
              <w:ind w:firstLine="0"/>
              <w:jc w:val="center"/>
              <w:rPr>
                <w:bCs/>
                <w:kern w:val="2"/>
                <w:szCs w:val="21"/>
              </w:rPr>
            </w:pPr>
          </w:p>
        </w:tc>
        <w:tc>
          <w:tcPr>
            <w:tcW w:w="1693" w:type="dxa"/>
            <w:vAlign w:val="center"/>
          </w:tcPr>
          <w:p>
            <w:pPr>
              <w:pStyle w:val="8"/>
              <w:spacing w:before="156" w:beforeLines="50" w:line="300" w:lineRule="exact"/>
              <w:ind w:firstLine="0"/>
              <w:jc w:val="center"/>
              <w:rPr>
                <w:bCs/>
                <w:kern w:val="2"/>
                <w:szCs w:val="21"/>
              </w:rPr>
            </w:pPr>
          </w:p>
        </w:tc>
      </w:tr>
    </w:tbl>
    <w:p>
      <w:pPr>
        <w:pStyle w:val="8"/>
        <w:snapToGrid w:val="0"/>
        <w:spacing w:line="360" w:lineRule="auto"/>
        <w:ind w:firstLine="480" w:firstLineChars="200"/>
        <w:rPr>
          <w:sz w:val="24"/>
        </w:rPr>
      </w:pPr>
    </w:p>
    <w:p>
      <w:pPr>
        <w:pStyle w:val="8"/>
        <w:spacing w:before="156" w:beforeLines="50" w:line="240" w:lineRule="auto"/>
        <w:ind w:firstLine="0"/>
        <w:jc w:val="left"/>
        <w:rPr>
          <w:b/>
          <w:sz w:val="24"/>
        </w:rPr>
      </w:pPr>
    </w:p>
    <w:p>
      <w:pPr>
        <w:pStyle w:val="8"/>
        <w:spacing w:before="156" w:beforeLines="50" w:line="240" w:lineRule="auto"/>
        <w:ind w:firstLine="0"/>
        <w:jc w:val="left"/>
        <w:rPr>
          <w:b/>
          <w:sz w:val="24"/>
        </w:rPr>
      </w:pPr>
      <w:r>
        <w:rPr>
          <w:b/>
          <w:sz w:val="24"/>
        </w:rPr>
        <w:t>报价说明：</w:t>
      </w:r>
    </w:p>
    <w:p>
      <w:pPr>
        <w:pStyle w:val="8"/>
        <w:snapToGrid w:val="0"/>
        <w:spacing w:line="360" w:lineRule="auto"/>
        <w:ind w:firstLine="480" w:firstLineChars="200"/>
        <w:rPr>
          <w:sz w:val="24"/>
        </w:rPr>
      </w:pPr>
      <w:r>
        <w:rPr>
          <w:sz w:val="24"/>
        </w:rPr>
        <w:t>1、上述报价基于本投标文件所附差异条件、优惠条件以及服务承诺的基础上，且报价已包括相应附加条款的附加保费及保险经纪服务费用。</w:t>
      </w:r>
    </w:p>
    <w:p>
      <w:pPr>
        <w:pStyle w:val="8"/>
        <w:snapToGrid w:val="0"/>
        <w:spacing w:line="360" w:lineRule="auto"/>
        <w:ind w:firstLine="480" w:firstLineChars="200"/>
        <w:rPr>
          <w:sz w:val="24"/>
        </w:rPr>
      </w:pPr>
      <w:r>
        <w:rPr>
          <w:sz w:val="24"/>
        </w:rPr>
        <w:t>2、如果我方中标，我们将履行投标文件中承诺的每一项要求，按期、按质、按要求履行合同。</w:t>
      </w:r>
    </w:p>
    <w:p>
      <w:pPr>
        <w:pStyle w:val="8"/>
        <w:snapToGrid w:val="0"/>
        <w:spacing w:line="360" w:lineRule="auto"/>
        <w:ind w:firstLine="480" w:firstLineChars="200"/>
        <w:rPr>
          <w:bCs/>
          <w:sz w:val="24"/>
        </w:rPr>
      </w:pPr>
      <w:r>
        <w:rPr>
          <w:rFonts w:hint="eastAsia"/>
          <w:bCs/>
          <w:sz w:val="24"/>
        </w:rPr>
        <w:t>3</w:t>
      </w:r>
      <w:r>
        <w:rPr>
          <w:bCs/>
          <w:sz w:val="24"/>
        </w:rPr>
        <w:t>、本报价有效期为自递交投标文件之日起90个日历日。</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法定代表人或授权代理人：（签字）</w:t>
      </w:r>
    </w:p>
    <w:p>
      <w:pPr>
        <w:pStyle w:val="8"/>
        <w:snapToGrid w:val="0"/>
        <w:spacing w:line="360" w:lineRule="auto"/>
        <w:ind w:firstLine="480" w:firstLineChars="200"/>
        <w:rPr>
          <w:sz w:val="24"/>
        </w:rPr>
      </w:pPr>
      <w:r>
        <w:rPr>
          <w:sz w:val="24"/>
        </w:rPr>
        <w:t>投标人：（公章）</w:t>
      </w:r>
    </w:p>
    <w:p>
      <w:pPr>
        <w:pStyle w:val="8"/>
        <w:snapToGrid w:val="0"/>
        <w:spacing w:line="360" w:lineRule="auto"/>
        <w:ind w:firstLine="480" w:firstLineChars="200"/>
        <w:rPr>
          <w:sz w:val="28"/>
          <w:szCs w:val="28"/>
        </w:rPr>
      </w:pPr>
      <w:r>
        <w:rPr>
          <w:sz w:val="24"/>
        </w:rPr>
        <w:t>日期：       年     月    日</w:t>
      </w:r>
      <w:r>
        <w:rPr>
          <w:b/>
          <w:bCs/>
          <w:sz w:val="28"/>
        </w:rPr>
        <w:br w:type="page"/>
      </w:r>
      <w:bookmarkStart w:id="302" w:name="_Toc401000064"/>
      <w:r>
        <w:rPr>
          <w:rFonts w:hint="eastAsia"/>
          <w:b/>
          <w:bCs/>
          <w:sz w:val="28"/>
        </w:rPr>
        <w:t xml:space="preserve">                      </w:t>
      </w:r>
      <w:r>
        <w:rPr>
          <w:b/>
          <w:bCs/>
          <w:sz w:val="28"/>
          <w:szCs w:val="28"/>
        </w:rPr>
        <w:t>二、投标承诺函</w:t>
      </w:r>
      <w:bookmarkEnd w:id="302"/>
    </w:p>
    <w:p>
      <w:pPr>
        <w:pStyle w:val="8"/>
        <w:snapToGrid w:val="0"/>
        <w:spacing w:line="360" w:lineRule="auto"/>
        <w:ind w:firstLine="0"/>
        <w:rPr>
          <w:sz w:val="24"/>
        </w:rPr>
      </w:pPr>
    </w:p>
    <w:p>
      <w:pPr>
        <w:pStyle w:val="8"/>
        <w:snapToGrid w:val="0"/>
        <w:spacing w:line="360" w:lineRule="auto"/>
        <w:ind w:firstLine="0"/>
        <w:rPr>
          <w:sz w:val="24"/>
        </w:rPr>
      </w:pPr>
      <w:r>
        <w:rPr>
          <w:rFonts w:hint="eastAsia"/>
          <w:sz w:val="24"/>
        </w:rPr>
        <w:t>江苏大生集团有限公司</w:t>
      </w:r>
      <w:r>
        <w:rPr>
          <w:sz w:val="24"/>
        </w:rPr>
        <w:t>：</w:t>
      </w:r>
    </w:p>
    <w:p>
      <w:pPr>
        <w:pStyle w:val="8"/>
        <w:snapToGrid w:val="0"/>
        <w:spacing w:line="360" w:lineRule="auto"/>
        <w:ind w:firstLine="480" w:firstLineChars="200"/>
        <w:rPr>
          <w:sz w:val="24"/>
        </w:rPr>
      </w:pPr>
      <w:r>
        <w:rPr>
          <w:sz w:val="24"/>
        </w:rPr>
        <w:t>我代表</w:t>
      </w:r>
      <w:r>
        <w:rPr>
          <w:sz w:val="24"/>
          <w:u w:val="single"/>
        </w:rPr>
        <w:t>（投标人名称）</w:t>
      </w:r>
      <w:r>
        <w:rPr>
          <w:sz w:val="24"/>
        </w:rPr>
        <w:t>，对</w:t>
      </w:r>
      <w:r>
        <w:rPr>
          <w:rFonts w:hint="eastAsia"/>
          <w:sz w:val="24"/>
        </w:rPr>
        <w:t>“</w:t>
      </w:r>
      <w:r>
        <w:rPr>
          <w:rFonts w:hint="eastAsia" w:ascii="宋体" w:hAnsi="宋体" w:cs="宋体"/>
          <w:sz w:val="24"/>
        </w:rPr>
        <w:t>江苏大生集团有限公司</w:t>
      </w:r>
      <w:r>
        <w:rPr>
          <w:rFonts w:hint="eastAsia" w:ascii="宋体" w:hAnsi="宋体" w:cs="宋体"/>
          <w:sz w:val="24"/>
          <w:lang w:val="en-US" w:eastAsia="zh-CN"/>
        </w:rPr>
        <w:t>部分子公司（合肥、滨州、聊城）2023年度</w:t>
      </w:r>
      <w:r>
        <w:rPr>
          <w:rFonts w:hint="eastAsia" w:ascii="宋体" w:hAnsi="宋体" w:cs="宋体"/>
          <w:sz w:val="24"/>
        </w:rPr>
        <w:t>财产保险项目”</w:t>
      </w:r>
      <w:r>
        <w:rPr>
          <w:sz w:val="24"/>
        </w:rPr>
        <w:t xml:space="preserve">（简称“本项目”）保险招标项目作如下承诺： </w:t>
      </w:r>
    </w:p>
    <w:p>
      <w:pPr>
        <w:pStyle w:val="8"/>
        <w:snapToGrid w:val="0"/>
        <w:spacing w:line="360" w:lineRule="auto"/>
        <w:ind w:firstLine="480" w:firstLineChars="200"/>
        <w:rPr>
          <w:sz w:val="24"/>
        </w:rPr>
      </w:pPr>
      <w:r>
        <w:rPr>
          <w:sz w:val="24"/>
        </w:rPr>
        <w:t>1、完全理解和接受招标文件的一切规定和要求。</w:t>
      </w:r>
    </w:p>
    <w:p>
      <w:pPr>
        <w:pStyle w:val="8"/>
        <w:snapToGrid w:val="0"/>
        <w:spacing w:line="360" w:lineRule="auto"/>
        <w:ind w:firstLine="480" w:firstLineChars="200"/>
        <w:rPr>
          <w:sz w:val="24"/>
        </w:rPr>
      </w:pPr>
      <w:r>
        <w:rPr>
          <w:sz w:val="24"/>
        </w:rPr>
        <w:t>2、若中标，我方将按照招标文件及我方投标文件、投标文件的书面澄清的具体规定与招标人签订合同协议书，并按合同协议书的要求出具保险单。</w:t>
      </w:r>
    </w:p>
    <w:p>
      <w:pPr>
        <w:pStyle w:val="8"/>
        <w:snapToGrid w:val="0"/>
        <w:spacing w:line="360" w:lineRule="auto"/>
        <w:ind w:firstLine="480" w:firstLineChars="200"/>
        <w:rPr>
          <w:sz w:val="24"/>
        </w:rPr>
      </w:pPr>
      <w:r>
        <w:rPr>
          <w:sz w:val="24"/>
        </w:rPr>
        <w:t>3、在整个招、投标过程中，我方若有违规行为，贵方可按招标文件之规定给予惩罚，我方完全接受。</w:t>
      </w:r>
    </w:p>
    <w:p>
      <w:pPr>
        <w:pStyle w:val="8"/>
        <w:snapToGrid w:val="0"/>
        <w:spacing w:line="360" w:lineRule="auto"/>
        <w:ind w:firstLine="480" w:firstLineChars="200"/>
        <w:rPr>
          <w:sz w:val="24"/>
        </w:rPr>
      </w:pPr>
      <w:r>
        <w:rPr>
          <w:sz w:val="24"/>
        </w:rPr>
        <w:t>4、在整个招、投标过程中及招、投标结束后，未经招标人书面同意，我方保证不向任何第三方泄露本次招、投标的任何信息、资料及内容。</w:t>
      </w:r>
    </w:p>
    <w:p>
      <w:pPr>
        <w:pStyle w:val="8"/>
        <w:snapToGrid w:val="0"/>
        <w:spacing w:line="360" w:lineRule="auto"/>
        <w:ind w:firstLine="480" w:firstLineChars="200"/>
        <w:rPr>
          <w:sz w:val="24"/>
        </w:rPr>
      </w:pPr>
      <w:r>
        <w:rPr>
          <w:sz w:val="24"/>
        </w:rPr>
        <w:t>5、投标文件中所有关于投标人资格的文件、证明、陈述均是真实的、准确的。若有违背，我公司承担由此而产生的一切后果。</w:t>
      </w:r>
    </w:p>
    <w:p>
      <w:pPr>
        <w:pStyle w:val="8"/>
        <w:snapToGrid w:val="0"/>
        <w:spacing w:line="360" w:lineRule="auto"/>
        <w:ind w:firstLine="480" w:firstLineChars="200"/>
        <w:rPr>
          <w:sz w:val="24"/>
        </w:rPr>
      </w:pPr>
      <w:r>
        <w:rPr>
          <w:sz w:val="24"/>
        </w:rPr>
        <w:t>6、本承诺函与保险合同具有同等的法律效力。</w:t>
      </w:r>
    </w:p>
    <w:p>
      <w:pPr>
        <w:pStyle w:val="8"/>
        <w:snapToGrid w:val="0"/>
        <w:spacing w:line="360" w:lineRule="auto"/>
        <w:ind w:firstLine="424" w:firstLineChars="177"/>
        <w:rPr>
          <w:sz w:val="24"/>
        </w:rPr>
      </w:pPr>
    </w:p>
    <w:p>
      <w:pPr>
        <w:pStyle w:val="8"/>
        <w:snapToGrid w:val="0"/>
        <w:spacing w:line="360" w:lineRule="auto"/>
        <w:ind w:firstLine="424" w:firstLineChars="177"/>
        <w:rPr>
          <w:sz w:val="24"/>
        </w:rPr>
      </w:pPr>
    </w:p>
    <w:p>
      <w:pPr>
        <w:pStyle w:val="8"/>
        <w:snapToGrid w:val="0"/>
        <w:spacing w:line="360" w:lineRule="auto"/>
        <w:ind w:firstLine="480" w:firstLineChars="200"/>
        <w:rPr>
          <w:sz w:val="24"/>
        </w:rPr>
      </w:pPr>
      <w:r>
        <w:rPr>
          <w:sz w:val="24"/>
        </w:rPr>
        <w:t>法定代表人或授权代理人：（签字）</w:t>
      </w:r>
    </w:p>
    <w:p>
      <w:pPr>
        <w:pStyle w:val="8"/>
        <w:snapToGrid w:val="0"/>
        <w:spacing w:line="360" w:lineRule="auto"/>
        <w:ind w:firstLine="480" w:firstLineChars="200"/>
        <w:rPr>
          <w:sz w:val="24"/>
        </w:rPr>
      </w:pPr>
      <w:r>
        <w:rPr>
          <w:sz w:val="24"/>
        </w:rPr>
        <w:t>投标人：（公章）</w:t>
      </w:r>
    </w:p>
    <w:p>
      <w:pPr>
        <w:pStyle w:val="8"/>
        <w:snapToGrid w:val="0"/>
        <w:spacing w:line="360" w:lineRule="auto"/>
        <w:ind w:firstLine="480" w:firstLineChars="200"/>
        <w:rPr>
          <w:sz w:val="24"/>
        </w:rPr>
      </w:pPr>
      <w:r>
        <w:rPr>
          <w:sz w:val="24"/>
        </w:rPr>
        <w:t>日期：       年     月    日</w:t>
      </w:r>
    </w:p>
    <w:p>
      <w:pPr>
        <w:pStyle w:val="8"/>
        <w:snapToGrid w:val="0"/>
        <w:spacing w:line="360" w:lineRule="auto"/>
        <w:ind w:firstLine="480" w:firstLineChars="200"/>
        <w:rPr>
          <w:sz w:val="24"/>
        </w:rPr>
      </w:pPr>
    </w:p>
    <w:p>
      <w:pPr>
        <w:pStyle w:val="6"/>
        <w:snapToGrid w:val="0"/>
        <w:spacing w:before="120" w:after="120" w:line="240" w:lineRule="auto"/>
        <w:jc w:val="center"/>
        <w:rPr>
          <w:sz w:val="28"/>
          <w:szCs w:val="28"/>
        </w:rPr>
      </w:pPr>
      <w:r>
        <w:rPr>
          <w:sz w:val="28"/>
        </w:rPr>
        <w:br w:type="page"/>
      </w:r>
      <w:bookmarkStart w:id="303" w:name="_Toc13430"/>
      <w:bookmarkStart w:id="304" w:name="_Toc401000065"/>
      <w:bookmarkStart w:id="305" w:name="_Toc20892"/>
      <w:r>
        <w:rPr>
          <w:sz w:val="28"/>
          <w:szCs w:val="28"/>
        </w:rPr>
        <w:t>三、法定代表人授权书</w:t>
      </w:r>
      <w:bookmarkEnd w:id="303"/>
      <w:bookmarkEnd w:id="304"/>
      <w:bookmarkEnd w:id="305"/>
    </w:p>
    <w:p>
      <w:pPr>
        <w:pStyle w:val="8"/>
        <w:snapToGrid w:val="0"/>
        <w:spacing w:line="360" w:lineRule="auto"/>
        <w:ind w:firstLine="426" w:firstLineChars="177"/>
        <w:jc w:val="center"/>
        <w:rPr>
          <w:b/>
          <w:bCs/>
          <w:sz w:val="24"/>
          <w:u w:val="dottedHeavy"/>
        </w:rPr>
      </w:pPr>
      <w:r>
        <w:rPr>
          <w:b/>
          <w:bCs/>
          <w:sz w:val="24"/>
          <w:u w:val="dottedHeavy"/>
        </w:rPr>
        <w:t>注：投标人为</w:t>
      </w:r>
      <w:r>
        <w:rPr>
          <w:rFonts w:hint="eastAsia"/>
          <w:b/>
          <w:bCs/>
          <w:sz w:val="24"/>
          <w:u w:val="dottedHeavy"/>
        </w:rPr>
        <w:t>分支</w:t>
      </w:r>
      <w:r>
        <w:rPr>
          <w:b/>
          <w:bCs/>
          <w:sz w:val="24"/>
          <w:u w:val="dottedHeavy"/>
        </w:rPr>
        <w:t>机构《法定代表人授权书》格式。</w:t>
      </w:r>
    </w:p>
    <w:p>
      <w:pPr>
        <w:pStyle w:val="8"/>
        <w:snapToGrid w:val="0"/>
        <w:spacing w:line="360" w:lineRule="auto"/>
        <w:ind w:firstLine="426" w:firstLineChars="177"/>
        <w:jc w:val="center"/>
        <w:rPr>
          <w:b/>
          <w:bCs/>
          <w:sz w:val="24"/>
          <w:u w:val="dottedHeavy"/>
        </w:rPr>
      </w:pPr>
    </w:p>
    <w:p>
      <w:pPr>
        <w:pStyle w:val="8"/>
        <w:snapToGrid w:val="0"/>
        <w:spacing w:line="360" w:lineRule="auto"/>
        <w:ind w:firstLine="426" w:firstLineChars="177"/>
        <w:jc w:val="center"/>
        <w:rPr>
          <w:b/>
          <w:bCs/>
          <w:sz w:val="24"/>
          <w:u w:val="dottedHeavy"/>
        </w:rPr>
      </w:pPr>
      <w:r>
        <w:rPr>
          <w:b/>
          <w:bCs/>
          <w:sz w:val="24"/>
          <w:u w:val="dottedHeavy"/>
        </w:rPr>
        <w:t>法定代表人授权书</w:t>
      </w:r>
    </w:p>
    <w:p>
      <w:pPr>
        <w:pStyle w:val="8"/>
        <w:spacing w:line="360" w:lineRule="auto"/>
        <w:ind w:firstLine="0"/>
        <w:jc w:val="left"/>
        <w:rPr>
          <w:sz w:val="24"/>
        </w:rPr>
      </w:pPr>
      <w:r>
        <w:rPr>
          <w:b/>
          <w:sz w:val="24"/>
        </w:rPr>
        <w:t>授权人：</w:t>
      </w:r>
      <w:r>
        <w:rPr>
          <w:sz w:val="24"/>
        </w:rPr>
        <w:t>公司名称：</w:t>
      </w:r>
      <w:r>
        <w:rPr>
          <w:sz w:val="24"/>
          <w:u w:val="single"/>
        </w:rPr>
        <w:t xml:space="preserve">        （总公司）</w:t>
      </w:r>
    </w:p>
    <w:p>
      <w:pPr>
        <w:pStyle w:val="8"/>
        <w:spacing w:line="360" w:lineRule="auto"/>
        <w:ind w:firstLine="480" w:firstLineChars="200"/>
        <w:jc w:val="left"/>
        <w:rPr>
          <w:sz w:val="24"/>
        </w:rPr>
      </w:pPr>
      <w:r>
        <w:rPr>
          <w:bCs/>
          <w:sz w:val="24"/>
        </w:rPr>
        <w:t>法定</w:t>
      </w:r>
      <w:r>
        <w:rPr>
          <w:sz w:val="24"/>
        </w:rPr>
        <w:t>代表</w:t>
      </w:r>
      <w:r>
        <w:rPr>
          <w:bCs/>
          <w:sz w:val="24"/>
        </w:rPr>
        <w:t>人：</w:t>
      </w:r>
      <w:r>
        <w:rPr>
          <w:sz w:val="24"/>
          <w:u w:val="single"/>
        </w:rPr>
        <w:t xml:space="preserve">       </w:t>
      </w:r>
    </w:p>
    <w:p>
      <w:pPr>
        <w:pStyle w:val="8"/>
        <w:spacing w:line="360" w:lineRule="auto"/>
        <w:ind w:firstLine="0"/>
        <w:rPr>
          <w:sz w:val="24"/>
          <w:u w:val="single"/>
        </w:rPr>
      </w:pPr>
      <w:r>
        <w:rPr>
          <w:b/>
          <w:sz w:val="24"/>
        </w:rPr>
        <w:t>授权代理机构：</w:t>
      </w:r>
      <w:r>
        <w:rPr>
          <w:sz w:val="24"/>
        </w:rPr>
        <w:t>公司名称：</w:t>
      </w:r>
      <w:r>
        <w:rPr>
          <w:sz w:val="24"/>
          <w:u w:val="single"/>
        </w:rPr>
        <w:t xml:space="preserve">          （</w:t>
      </w:r>
      <w:r>
        <w:rPr>
          <w:rFonts w:hint="eastAsia"/>
          <w:sz w:val="24"/>
          <w:u w:val="single"/>
        </w:rPr>
        <w:t>南通地市级分支</w:t>
      </w:r>
      <w:r>
        <w:rPr>
          <w:sz w:val="24"/>
          <w:u w:val="single"/>
        </w:rPr>
        <w:t>机构）</w:t>
      </w:r>
    </w:p>
    <w:p>
      <w:pPr>
        <w:pStyle w:val="8"/>
        <w:spacing w:line="360" w:lineRule="auto"/>
        <w:ind w:firstLine="480" w:firstLineChars="200"/>
        <w:jc w:val="left"/>
        <w:rPr>
          <w:sz w:val="24"/>
          <w:u w:val="single"/>
        </w:rPr>
      </w:pPr>
      <w:r>
        <w:rPr>
          <w:sz w:val="24"/>
        </w:rPr>
        <w:t>负责人：</w:t>
      </w:r>
      <w:r>
        <w:rPr>
          <w:sz w:val="24"/>
          <w:u w:val="single"/>
        </w:rPr>
        <w:t xml:space="preserve">         </w:t>
      </w:r>
    </w:p>
    <w:p>
      <w:pPr>
        <w:pStyle w:val="8"/>
        <w:spacing w:line="360" w:lineRule="auto"/>
        <w:ind w:firstLine="0"/>
        <w:rPr>
          <w:b/>
          <w:sz w:val="24"/>
        </w:rPr>
      </w:pPr>
      <w:r>
        <w:rPr>
          <w:b/>
          <w:sz w:val="24"/>
        </w:rPr>
        <w:t>授权代理人：</w:t>
      </w:r>
      <w:r>
        <w:rPr>
          <w:sz w:val="24"/>
          <w:u w:val="single"/>
        </w:rPr>
        <w:t>（</w:t>
      </w:r>
      <w:r>
        <w:rPr>
          <w:rFonts w:hint="eastAsia"/>
          <w:sz w:val="24"/>
          <w:u w:val="single"/>
        </w:rPr>
        <w:t>授权</w:t>
      </w:r>
      <w:r>
        <w:rPr>
          <w:sz w:val="24"/>
          <w:u w:val="single"/>
        </w:rPr>
        <w:t>代理人的姓名、部门/职务）</w:t>
      </w:r>
    </w:p>
    <w:tbl>
      <w:tblPr>
        <w:tblStyle w:val="24"/>
        <w:tblW w:w="0" w:type="auto"/>
        <w:tblInd w:w="0" w:type="dxa"/>
        <w:tblLayout w:type="fixed"/>
        <w:tblCellMar>
          <w:top w:w="0" w:type="dxa"/>
          <w:left w:w="108" w:type="dxa"/>
          <w:bottom w:w="0" w:type="dxa"/>
          <w:right w:w="108" w:type="dxa"/>
        </w:tblCellMar>
      </w:tblPr>
      <w:tblGrid>
        <w:gridCol w:w="7640"/>
      </w:tblGrid>
      <w:tr>
        <w:tblPrEx>
          <w:tblCellMar>
            <w:top w:w="0" w:type="dxa"/>
            <w:left w:w="108" w:type="dxa"/>
            <w:bottom w:w="0" w:type="dxa"/>
            <w:right w:w="108" w:type="dxa"/>
          </w:tblCellMar>
        </w:tblPrEx>
        <w:trPr>
          <w:trHeight w:val="2596" w:hRule="atLeast"/>
        </w:trPr>
        <w:tc>
          <w:tcPr>
            <w:tcW w:w="7640" w:type="dxa"/>
            <w:vAlign w:val="center"/>
          </w:tcPr>
          <w:p>
            <w:pPr>
              <w:pStyle w:val="8"/>
              <w:spacing w:line="360" w:lineRule="auto"/>
              <w:ind w:firstLineChars="200"/>
              <w:rPr>
                <w:kern w:val="2"/>
                <w:szCs w:val="24"/>
              </w:rPr>
            </w:pPr>
            <w:r>
              <w:rPr>
                <w:kern w:val="2"/>
                <w:szCs w:val="24"/>
              </w:rPr>
              <w:t>授权代理人身份证正反面影印件粘贴处</w:t>
            </w:r>
          </w:p>
        </w:tc>
      </w:tr>
    </w:tbl>
    <w:p>
      <w:pPr>
        <w:pStyle w:val="8"/>
        <w:snapToGrid w:val="0"/>
        <w:spacing w:line="240" w:lineRule="auto"/>
        <w:ind w:firstLine="424" w:firstLineChars="177"/>
        <w:rPr>
          <w:sz w:val="24"/>
        </w:rPr>
      </w:pPr>
    </w:p>
    <w:p>
      <w:pPr>
        <w:pStyle w:val="8"/>
        <w:spacing w:line="360" w:lineRule="auto"/>
        <w:ind w:left="482" w:hanging="482" w:hangingChars="200"/>
        <w:jc w:val="left"/>
        <w:rPr>
          <w:b/>
          <w:sz w:val="24"/>
        </w:rPr>
      </w:pPr>
      <w:r>
        <w:rPr>
          <w:b/>
          <w:sz w:val="24"/>
        </w:rPr>
        <w:t>授权事宜：</w:t>
      </w:r>
    </w:p>
    <w:p>
      <w:pPr>
        <w:pStyle w:val="8"/>
        <w:spacing w:line="360" w:lineRule="auto"/>
        <w:ind w:firstLine="480" w:firstLineChars="200"/>
        <w:jc w:val="left"/>
        <w:rPr>
          <w:sz w:val="24"/>
        </w:rPr>
      </w:pPr>
      <w:r>
        <w:rPr>
          <w:rFonts w:hint="eastAsia"/>
          <w:sz w:val="24"/>
        </w:rPr>
        <w:t>1.</w:t>
      </w:r>
      <w:r>
        <w:rPr>
          <w:sz w:val="24"/>
        </w:rPr>
        <w:t>“</w:t>
      </w:r>
      <w:r>
        <w:rPr>
          <w:rFonts w:hint="eastAsia"/>
          <w:sz w:val="24"/>
        </w:rPr>
        <w:t>江苏大生集团有限公司财产保险项目</w:t>
      </w:r>
      <w:r>
        <w:rPr>
          <w:sz w:val="24"/>
        </w:rPr>
        <w:t>”的保险投标、谈判、保险合同签署和执行，以本公司名义处理一切与之有关的各项事务（包括法律事务）。</w:t>
      </w:r>
    </w:p>
    <w:p>
      <w:pPr>
        <w:pStyle w:val="8"/>
        <w:snapToGrid w:val="0"/>
        <w:spacing w:line="360" w:lineRule="auto"/>
        <w:ind w:firstLine="480" w:firstLineChars="200"/>
        <w:rPr>
          <w:sz w:val="24"/>
        </w:rPr>
      </w:pPr>
      <w:r>
        <w:rPr>
          <w:rFonts w:hint="eastAsia"/>
          <w:sz w:val="24"/>
        </w:rPr>
        <w:t>2.</w:t>
      </w:r>
      <w:r>
        <w:rPr>
          <w:sz w:val="24"/>
        </w:rPr>
        <w:t>本授权书于</w:t>
      </w:r>
      <w:r>
        <w:rPr>
          <w:sz w:val="24"/>
          <w:u w:val="single"/>
        </w:rPr>
        <w:tab/>
      </w:r>
      <w:r>
        <w:rPr>
          <w:sz w:val="24"/>
          <w:u w:val="single"/>
        </w:rPr>
        <w:tab/>
      </w:r>
      <w:r>
        <w:rPr>
          <w:sz w:val="24"/>
          <w:u w:val="single"/>
        </w:rPr>
        <w:t>年  月  日</w:t>
      </w:r>
      <w:r>
        <w:rPr>
          <w:sz w:val="24"/>
        </w:rPr>
        <w:t>签字生效，有效期90个日历日，授权代理人在本授权书有效期内签署的文件不因授权撤销而失效，本授权书不得转授权，特此声明。</w:t>
      </w:r>
    </w:p>
    <w:p>
      <w:pPr>
        <w:pStyle w:val="8"/>
        <w:snapToGrid w:val="0"/>
        <w:spacing w:line="360" w:lineRule="auto"/>
        <w:ind w:firstLine="480" w:firstLineChars="200"/>
        <w:rPr>
          <w:sz w:val="24"/>
        </w:rPr>
      </w:pPr>
      <w:r>
        <w:rPr>
          <w:rFonts w:hint="eastAsia"/>
          <w:sz w:val="24"/>
        </w:rPr>
        <w:t>3.若中标授权有效期至案件处理完毕。</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法定代表人（签字）：</w:t>
      </w:r>
    </w:p>
    <w:p>
      <w:pPr>
        <w:pStyle w:val="8"/>
        <w:snapToGrid w:val="0"/>
        <w:spacing w:line="360" w:lineRule="auto"/>
        <w:ind w:firstLine="480" w:firstLineChars="200"/>
        <w:rPr>
          <w:sz w:val="24"/>
        </w:rPr>
      </w:pPr>
      <w:r>
        <w:rPr>
          <w:sz w:val="24"/>
        </w:rPr>
        <w:t>授权代理人（签字）：</w:t>
      </w:r>
    </w:p>
    <w:p>
      <w:pPr>
        <w:pStyle w:val="8"/>
        <w:snapToGrid w:val="0"/>
        <w:spacing w:line="360" w:lineRule="auto"/>
        <w:ind w:firstLine="480" w:firstLineChars="200"/>
        <w:rPr>
          <w:sz w:val="24"/>
        </w:rPr>
      </w:pPr>
      <w:r>
        <w:rPr>
          <w:sz w:val="24"/>
        </w:rPr>
        <w:t>单位名称：（加盖公章）</w:t>
      </w:r>
    </w:p>
    <w:p>
      <w:pPr>
        <w:pStyle w:val="8"/>
        <w:snapToGrid w:val="0"/>
        <w:spacing w:before="120" w:after="120" w:line="360" w:lineRule="auto"/>
        <w:ind w:firstLine="0"/>
        <w:jc w:val="left"/>
        <w:rPr>
          <w:b/>
          <w:bCs/>
          <w:sz w:val="28"/>
        </w:rPr>
      </w:pPr>
      <w:r>
        <w:rPr>
          <w:sz w:val="24"/>
        </w:rPr>
        <w:t xml:space="preserve">    地址：</w:t>
      </w:r>
      <w:r>
        <w:rPr>
          <w:b/>
          <w:bCs/>
          <w:sz w:val="28"/>
        </w:rPr>
        <w:br w:type="page"/>
      </w:r>
      <w:bookmarkStart w:id="306" w:name="_Toc401000066"/>
    </w:p>
    <w:p>
      <w:pPr>
        <w:pStyle w:val="6"/>
        <w:snapToGrid w:val="0"/>
        <w:spacing w:before="120" w:after="120" w:line="240" w:lineRule="auto"/>
        <w:jc w:val="center"/>
        <w:rPr>
          <w:sz w:val="28"/>
          <w:szCs w:val="28"/>
        </w:rPr>
      </w:pPr>
      <w:bookmarkStart w:id="307" w:name="_Toc3000"/>
      <w:bookmarkStart w:id="308" w:name="_Toc28457"/>
      <w:r>
        <w:rPr>
          <w:sz w:val="28"/>
          <w:szCs w:val="28"/>
        </w:rPr>
        <w:t>四、差异条件汇总表</w:t>
      </w:r>
      <w:bookmarkEnd w:id="306"/>
      <w:bookmarkEnd w:id="307"/>
      <w:bookmarkEnd w:id="308"/>
    </w:p>
    <w:p>
      <w:pPr>
        <w:snapToGrid w:val="0"/>
        <w:rPr>
          <w:sz w:val="28"/>
          <w:szCs w:val="28"/>
        </w:rPr>
      </w:pPr>
    </w:p>
    <w:p>
      <w:pPr>
        <w:pStyle w:val="8"/>
        <w:snapToGrid w:val="0"/>
        <w:spacing w:line="360" w:lineRule="auto"/>
        <w:ind w:firstLine="480" w:firstLineChars="200"/>
        <w:rPr>
          <w:sz w:val="24"/>
        </w:rPr>
      </w:pPr>
      <w:r>
        <w:rPr>
          <w:sz w:val="24"/>
        </w:rPr>
        <w:t>说明：各投标人可针对投标文件中的相应内容，在下表中提出各自的差异条件。</w:t>
      </w:r>
    </w:p>
    <w:p>
      <w:pPr>
        <w:pStyle w:val="8"/>
        <w:snapToGrid w:val="0"/>
        <w:spacing w:line="360" w:lineRule="auto"/>
        <w:ind w:firstLine="480" w:firstLineChars="200"/>
        <w:rPr>
          <w:sz w:val="24"/>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7"/>
        <w:gridCol w:w="864"/>
        <w:gridCol w:w="2977"/>
        <w:gridCol w:w="39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vMerge w:val="restart"/>
          </w:tcPr>
          <w:p>
            <w:pPr>
              <w:snapToGrid w:val="0"/>
              <w:spacing w:line="360" w:lineRule="auto"/>
              <w:jc w:val="center"/>
              <w:rPr>
                <w:b/>
                <w:sz w:val="24"/>
              </w:rPr>
            </w:pPr>
            <w:r>
              <w:rPr>
                <w:b/>
                <w:sz w:val="24"/>
              </w:rPr>
              <w:t>序</w:t>
            </w:r>
          </w:p>
          <w:p>
            <w:pPr>
              <w:snapToGrid w:val="0"/>
              <w:spacing w:line="360" w:lineRule="auto"/>
              <w:jc w:val="center"/>
              <w:rPr>
                <w:b/>
                <w:sz w:val="24"/>
              </w:rPr>
            </w:pPr>
            <w:r>
              <w:rPr>
                <w:b/>
                <w:sz w:val="24"/>
              </w:rPr>
              <w:t>号</w:t>
            </w:r>
          </w:p>
        </w:tc>
        <w:tc>
          <w:tcPr>
            <w:tcW w:w="3841" w:type="dxa"/>
            <w:gridSpan w:val="2"/>
          </w:tcPr>
          <w:p>
            <w:pPr>
              <w:snapToGrid w:val="0"/>
              <w:spacing w:line="360" w:lineRule="auto"/>
              <w:jc w:val="center"/>
              <w:rPr>
                <w:b/>
                <w:sz w:val="24"/>
              </w:rPr>
            </w:pPr>
            <w:r>
              <w:rPr>
                <w:b/>
                <w:sz w:val="24"/>
              </w:rPr>
              <w:t>招标文件</w:t>
            </w:r>
          </w:p>
        </w:tc>
        <w:tc>
          <w:tcPr>
            <w:tcW w:w="3928" w:type="dxa"/>
          </w:tcPr>
          <w:p>
            <w:pPr>
              <w:snapToGrid w:val="0"/>
              <w:spacing w:line="360" w:lineRule="auto"/>
              <w:jc w:val="center"/>
              <w:rPr>
                <w:b/>
                <w:sz w:val="24"/>
              </w:rPr>
            </w:pPr>
            <w:r>
              <w:rPr>
                <w:b/>
                <w:sz w:val="24"/>
              </w:rPr>
              <w:t>投标文件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vMerge w:val="continue"/>
          </w:tcPr>
          <w:p>
            <w:pPr>
              <w:snapToGrid w:val="0"/>
              <w:spacing w:line="360" w:lineRule="auto"/>
              <w:rPr>
                <w:sz w:val="24"/>
              </w:rPr>
            </w:pPr>
          </w:p>
        </w:tc>
        <w:tc>
          <w:tcPr>
            <w:tcW w:w="864" w:type="dxa"/>
          </w:tcPr>
          <w:p>
            <w:pPr>
              <w:snapToGrid w:val="0"/>
              <w:spacing w:line="360" w:lineRule="auto"/>
              <w:jc w:val="center"/>
              <w:rPr>
                <w:sz w:val="24"/>
              </w:rPr>
            </w:pPr>
            <w:r>
              <w:rPr>
                <w:sz w:val="24"/>
              </w:rPr>
              <w:t>条目</w:t>
            </w:r>
          </w:p>
        </w:tc>
        <w:tc>
          <w:tcPr>
            <w:tcW w:w="2977" w:type="dxa"/>
          </w:tcPr>
          <w:p>
            <w:pPr>
              <w:snapToGrid w:val="0"/>
              <w:spacing w:line="360" w:lineRule="auto"/>
              <w:jc w:val="center"/>
              <w:rPr>
                <w:sz w:val="24"/>
              </w:rPr>
            </w:pPr>
            <w:r>
              <w:rPr>
                <w:sz w:val="24"/>
              </w:rPr>
              <w:t xml:space="preserve">  内 容</w:t>
            </w:r>
          </w:p>
        </w:tc>
        <w:tc>
          <w:tcPr>
            <w:tcW w:w="3928" w:type="dxa"/>
          </w:tcPr>
          <w:p>
            <w:pPr>
              <w:snapToGrid w:val="0"/>
              <w:spacing w:line="360" w:lineRule="auto"/>
              <w:jc w:val="center"/>
              <w:rPr>
                <w:sz w:val="24"/>
              </w:rPr>
            </w:pPr>
            <w:r>
              <w:rPr>
                <w:sz w:val="24"/>
              </w:rPr>
              <w:t xml:space="preserve">  内 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306" w:type="dxa"/>
            <w:gridSpan w:val="4"/>
          </w:tcPr>
          <w:p>
            <w:pPr>
              <w:snapToGrid w:val="0"/>
              <w:spacing w:line="360" w:lineRule="auto"/>
              <w:rPr>
                <w:sz w:val="24"/>
              </w:rPr>
            </w:pPr>
            <w:r>
              <w:rPr>
                <w:sz w:val="24"/>
              </w:rPr>
              <w:t>其它条件：</w:t>
            </w:r>
          </w:p>
        </w:tc>
      </w:tr>
    </w:tbl>
    <w:p>
      <w:pPr>
        <w:pStyle w:val="8"/>
        <w:snapToGrid w:val="0"/>
        <w:spacing w:line="360" w:lineRule="auto"/>
        <w:ind w:firstLine="480" w:firstLineChars="200"/>
        <w:rPr>
          <w:sz w:val="24"/>
        </w:rPr>
      </w:pPr>
      <w:r>
        <w:rPr>
          <w:sz w:val="24"/>
        </w:rPr>
        <w:t>（表格不够可按格式扩展）</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投标人名称（公章）： </w:t>
      </w:r>
    </w:p>
    <w:p>
      <w:pPr>
        <w:pStyle w:val="8"/>
        <w:snapToGrid w:val="0"/>
        <w:spacing w:line="360" w:lineRule="auto"/>
        <w:ind w:firstLine="480" w:firstLineChars="200"/>
        <w:rPr>
          <w:sz w:val="24"/>
        </w:rPr>
      </w:pPr>
      <w:r>
        <w:rPr>
          <w:sz w:val="24"/>
        </w:rPr>
        <w:t>日     期：</w:t>
      </w:r>
    </w:p>
    <w:p>
      <w:pPr>
        <w:pStyle w:val="6"/>
        <w:snapToGrid w:val="0"/>
        <w:spacing w:before="120" w:after="120" w:line="240" w:lineRule="auto"/>
        <w:jc w:val="center"/>
        <w:rPr>
          <w:sz w:val="28"/>
          <w:szCs w:val="28"/>
        </w:rPr>
      </w:pPr>
      <w:r>
        <w:rPr>
          <w:szCs w:val="28"/>
        </w:rPr>
        <w:br w:type="page"/>
      </w:r>
      <w:bookmarkStart w:id="309" w:name="_Toc3369"/>
      <w:bookmarkStart w:id="310" w:name="_Toc401000067"/>
      <w:bookmarkStart w:id="311" w:name="_Toc29422"/>
      <w:r>
        <w:rPr>
          <w:sz w:val="28"/>
          <w:szCs w:val="28"/>
        </w:rPr>
        <w:t>五、优惠条件汇总表</w:t>
      </w:r>
      <w:bookmarkEnd w:id="309"/>
      <w:bookmarkEnd w:id="310"/>
      <w:bookmarkEnd w:id="311"/>
    </w:p>
    <w:p>
      <w:pPr>
        <w:snapToGrid w:val="0"/>
        <w:spacing w:line="360" w:lineRule="auto"/>
        <w:rPr>
          <w:sz w:val="24"/>
        </w:rPr>
      </w:pPr>
    </w:p>
    <w:p>
      <w:pPr>
        <w:snapToGrid w:val="0"/>
        <w:spacing w:line="360" w:lineRule="auto"/>
        <w:ind w:firstLine="480" w:firstLineChars="200"/>
        <w:rPr>
          <w:sz w:val="24"/>
        </w:rPr>
      </w:pPr>
      <w:r>
        <w:rPr>
          <w:sz w:val="24"/>
        </w:rPr>
        <w:t>投标人必须将所能提供的超出招标文件要求的其它优惠条件按下表格式汇总：</w:t>
      </w:r>
    </w:p>
    <w:p>
      <w:pPr>
        <w:snapToGrid w:val="0"/>
        <w:spacing w:line="360" w:lineRule="auto"/>
        <w:rPr>
          <w:sz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959" w:type="dxa"/>
            <w:tcBorders>
              <w:bottom w:val="single" w:color="auto" w:sz="4" w:space="0"/>
            </w:tcBorders>
            <w:shd w:val="clear" w:color="auto" w:fill="E0E0E0"/>
            <w:vAlign w:val="center"/>
          </w:tcPr>
          <w:p>
            <w:pPr>
              <w:snapToGrid w:val="0"/>
              <w:spacing w:line="360" w:lineRule="auto"/>
              <w:jc w:val="center"/>
              <w:rPr>
                <w:b/>
                <w:sz w:val="24"/>
              </w:rPr>
            </w:pPr>
            <w:r>
              <w:rPr>
                <w:b/>
                <w:sz w:val="24"/>
              </w:rPr>
              <w:t>序号</w:t>
            </w:r>
          </w:p>
        </w:tc>
        <w:tc>
          <w:tcPr>
            <w:tcW w:w="7897" w:type="dxa"/>
            <w:tcBorders>
              <w:bottom w:val="single" w:color="auto" w:sz="4" w:space="0"/>
            </w:tcBorders>
            <w:shd w:val="clear" w:color="auto" w:fill="E0E0E0"/>
            <w:vAlign w:val="center"/>
          </w:tcPr>
          <w:p>
            <w:pPr>
              <w:snapToGrid w:val="0"/>
              <w:spacing w:line="360" w:lineRule="auto"/>
              <w:jc w:val="center"/>
              <w:rPr>
                <w:b/>
                <w:sz w:val="24"/>
              </w:rPr>
            </w:pPr>
            <w:r>
              <w:rPr>
                <w:b/>
                <w:sz w:val="24"/>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bl>
    <w:p>
      <w:pPr>
        <w:snapToGrid w:val="0"/>
        <w:spacing w:line="360" w:lineRule="auto"/>
        <w:rPr>
          <w:sz w:val="24"/>
        </w:rPr>
      </w:pPr>
      <w:r>
        <w:rPr>
          <w:sz w:val="24"/>
        </w:rPr>
        <w:t>（表格不够可按格式扩展）</w:t>
      </w:r>
    </w:p>
    <w:p>
      <w:pPr>
        <w:snapToGrid w:val="0"/>
        <w:spacing w:line="360" w:lineRule="auto"/>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日期：       年     月    日</w:t>
      </w:r>
    </w:p>
    <w:p>
      <w:pPr>
        <w:snapToGrid w:val="0"/>
        <w:spacing w:line="360" w:lineRule="auto"/>
        <w:rPr>
          <w:sz w:val="28"/>
        </w:rPr>
      </w:pPr>
    </w:p>
    <w:p>
      <w:pPr>
        <w:pStyle w:val="11"/>
        <w:snapToGrid w:val="0"/>
        <w:ind w:firstLine="703"/>
        <w:rPr>
          <w:b/>
          <w:bCs/>
          <w:sz w:val="28"/>
        </w:rPr>
      </w:pPr>
    </w:p>
    <w:p>
      <w:pPr>
        <w:pStyle w:val="6"/>
        <w:snapToGrid w:val="0"/>
        <w:spacing w:before="120" w:after="120" w:line="240" w:lineRule="auto"/>
        <w:jc w:val="center"/>
        <w:rPr>
          <w:sz w:val="28"/>
          <w:szCs w:val="28"/>
        </w:rPr>
      </w:pPr>
      <w:r>
        <w:rPr>
          <w:b w:val="0"/>
          <w:bCs w:val="0"/>
          <w:sz w:val="28"/>
        </w:rPr>
        <w:br w:type="page"/>
      </w:r>
      <w:bookmarkStart w:id="312" w:name="_Toc22520"/>
      <w:bookmarkStart w:id="313" w:name="_Toc401000068"/>
      <w:bookmarkStart w:id="314" w:name="_Toc6709"/>
      <w:r>
        <w:rPr>
          <w:sz w:val="28"/>
          <w:szCs w:val="28"/>
        </w:rPr>
        <w:t>六、保险服务承诺</w:t>
      </w:r>
      <w:bookmarkEnd w:id="312"/>
      <w:bookmarkEnd w:id="313"/>
      <w:bookmarkEnd w:id="314"/>
    </w:p>
    <w:p>
      <w:pPr>
        <w:pStyle w:val="8"/>
        <w:snapToGrid w:val="0"/>
        <w:spacing w:line="360" w:lineRule="auto"/>
        <w:ind w:firstLine="482" w:firstLineChars="200"/>
        <w:rPr>
          <w:b/>
          <w:i/>
          <w:sz w:val="24"/>
        </w:rPr>
      </w:pPr>
      <w:r>
        <w:rPr>
          <w:b/>
          <w:i/>
          <w:sz w:val="24"/>
        </w:rPr>
        <w:t>（要求：投标人须结合保险协议要求及项目特点提出详细的服务方案，包括但不限于本招标文件中列明的内容：应不低于保险协议样本中的基本要求）</w:t>
      </w:r>
    </w:p>
    <w:p>
      <w:pPr>
        <w:pStyle w:val="8"/>
        <w:snapToGrid w:val="0"/>
        <w:spacing w:line="360" w:lineRule="auto"/>
        <w:ind w:firstLine="480" w:firstLineChars="200"/>
        <w:rPr>
          <w:sz w:val="24"/>
        </w:rPr>
      </w:pPr>
      <w:r>
        <w:rPr>
          <w:sz w:val="24"/>
        </w:rPr>
        <w:t>主要服务承诺事项：</w:t>
      </w:r>
    </w:p>
    <w:p>
      <w:pPr>
        <w:pStyle w:val="8"/>
        <w:snapToGrid w:val="0"/>
        <w:spacing w:line="360" w:lineRule="auto"/>
        <w:ind w:firstLine="482" w:firstLineChars="200"/>
        <w:rPr>
          <w:b/>
          <w:sz w:val="24"/>
        </w:rPr>
      </w:pPr>
      <w:r>
        <w:rPr>
          <w:b/>
          <w:sz w:val="24"/>
        </w:rPr>
        <w:t>1、项目服务小组设置</w:t>
      </w:r>
    </w:p>
    <w:p>
      <w:pPr>
        <w:snapToGrid w:val="0"/>
        <w:spacing w:line="360" w:lineRule="auto"/>
        <w:ind w:firstLine="480" w:firstLineChars="200"/>
        <w:rPr>
          <w:sz w:val="24"/>
        </w:rPr>
      </w:pPr>
      <w:r>
        <w:rPr>
          <w:sz w:val="24"/>
        </w:rPr>
        <w:t>投标人应建立“公司领导与协调小组+服务小组”</w:t>
      </w:r>
      <w:r>
        <w:rPr>
          <w:rFonts w:hint="eastAsia"/>
          <w:sz w:val="24"/>
        </w:rPr>
        <w:t>双</w:t>
      </w:r>
      <w:r>
        <w:rPr>
          <w:sz w:val="24"/>
        </w:rPr>
        <w:t>重服务体系，并明确各服务小组之间的职能关系。</w:t>
      </w:r>
    </w:p>
    <w:p>
      <w:pPr>
        <w:snapToGrid w:val="0"/>
        <w:spacing w:line="360" w:lineRule="auto"/>
        <w:ind w:firstLine="480" w:firstLineChars="200"/>
        <w:rPr>
          <w:sz w:val="24"/>
        </w:rPr>
      </w:pPr>
      <w:r>
        <w:rPr>
          <w:sz w:val="24"/>
        </w:rPr>
        <w:t>项目服务小组的成员应包括本项目可能涉及的各部门（如承保、理赔部门等）的负责人及联系人，并提供本项目的服务职责、姓名、职务、联系方式等。</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530"/>
        <w:gridCol w:w="1200"/>
        <w:gridCol w:w="2415"/>
        <w:gridCol w:w="1785"/>
        <w:gridCol w:w="10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8020" w:type="dxa"/>
            <w:gridSpan w:val="5"/>
            <w:tcBorders>
              <w:top w:val="single" w:color="auto" w:sz="12" w:space="0"/>
              <w:bottom w:val="single" w:color="auto" w:sz="4" w:space="0"/>
            </w:tcBorders>
            <w:shd w:val="clear" w:color="auto" w:fill="E6E6E6"/>
            <w:vAlign w:val="center"/>
          </w:tcPr>
          <w:p>
            <w:pPr>
              <w:snapToGrid w:val="0"/>
              <w:spacing w:line="360" w:lineRule="auto"/>
              <w:jc w:val="center"/>
              <w:rPr>
                <w:b/>
                <w:szCs w:val="21"/>
              </w:rPr>
            </w:pPr>
            <w:r>
              <w:rPr>
                <w:b/>
                <w:szCs w:val="21"/>
              </w:rPr>
              <w:t>（投标人名称）</w:t>
            </w:r>
          </w:p>
          <w:p>
            <w:pPr>
              <w:snapToGrid w:val="0"/>
              <w:spacing w:line="360" w:lineRule="auto"/>
              <w:jc w:val="center"/>
              <w:rPr>
                <w:b/>
                <w:szCs w:val="21"/>
              </w:rPr>
            </w:pPr>
            <w:r>
              <w:rPr>
                <w:b/>
                <w:szCs w:val="21"/>
              </w:rPr>
              <w:t>（项目名称）保险服务小组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snapToGrid w:val="0"/>
              <w:spacing w:line="360" w:lineRule="auto"/>
              <w:jc w:val="center"/>
              <w:rPr>
                <w:szCs w:val="21"/>
              </w:rPr>
            </w:pPr>
            <w:r>
              <w:rPr>
                <w:szCs w:val="21"/>
              </w:rPr>
              <w:t>职责</w:t>
            </w:r>
          </w:p>
        </w:tc>
        <w:tc>
          <w:tcPr>
            <w:tcW w:w="1200" w:type="dxa"/>
            <w:vAlign w:val="center"/>
          </w:tcPr>
          <w:p>
            <w:pPr>
              <w:snapToGrid w:val="0"/>
              <w:spacing w:line="360" w:lineRule="auto"/>
              <w:jc w:val="center"/>
              <w:rPr>
                <w:szCs w:val="21"/>
              </w:rPr>
            </w:pPr>
            <w:r>
              <w:rPr>
                <w:szCs w:val="21"/>
              </w:rPr>
              <w:t>姓名</w:t>
            </w:r>
          </w:p>
        </w:tc>
        <w:tc>
          <w:tcPr>
            <w:tcW w:w="2415" w:type="dxa"/>
            <w:vAlign w:val="center"/>
          </w:tcPr>
          <w:p>
            <w:pPr>
              <w:snapToGrid w:val="0"/>
              <w:spacing w:line="360" w:lineRule="auto"/>
              <w:jc w:val="center"/>
              <w:rPr>
                <w:szCs w:val="21"/>
              </w:rPr>
            </w:pPr>
            <w:r>
              <w:rPr>
                <w:szCs w:val="21"/>
              </w:rPr>
              <w:t>职务</w:t>
            </w:r>
          </w:p>
        </w:tc>
        <w:tc>
          <w:tcPr>
            <w:tcW w:w="1785" w:type="dxa"/>
            <w:vAlign w:val="center"/>
          </w:tcPr>
          <w:p>
            <w:pPr>
              <w:snapToGrid w:val="0"/>
              <w:spacing w:line="360" w:lineRule="auto"/>
              <w:jc w:val="center"/>
              <w:rPr>
                <w:szCs w:val="21"/>
              </w:rPr>
            </w:pPr>
            <w:r>
              <w:rPr>
                <w:szCs w:val="21"/>
              </w:rPr>
              <w:t>手机</w:t>
            </w:r>
          </w:p>
        </w:tc>
        <w:tc>
          <w:tcPr>
            <w:tcW w:w="1090" w:type="dxa"/>
            <w:vAlign w:val="center"/>
          </w:tcPr>
          <w:p>
            <w:pPr>
              <w:snapToGrid w:val="0"/>
              <w:spacing w:line="360" w:lineRule="auto"/>
              <w:jc w:val="center"/>
              <w:rPr>
                <w:szCs w:val="21"/>
              </w:rPr>
            </w:pPr>
            <w:r>
              <w:rPr>
                <w:szCs w:val="21"/>
              </w:rPr>
              <w:t>固话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r>
              <w:rPr>
                <w:sz w:val="21"/>
                <w:szCs w:val="21"/>
              </w:rPr>
              <w:t>项目负责人</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协调人</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承保</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理赔</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r>
              <w:rPr>
                <w:kern w:val="2"/>
                <w:sz w:val="21"/>
                <w:szCs w:val="21"/>
              </w:rPr>
              <w:t>第</w:t>
            </w:r>
            <w:r>
              <w:rPr>
                <w:rFonts w:hint="eastAsia"/>
                <w:kern w:val="2"/>
                <w:sz w:val="21"/>
                <w:szCs w:val="21"/>
              </w:rPr>
              <w:t>一</w:t>
            </w:r>
            <w:r>
              <w:rPr>
                <w:kern w:val="2"/>
                <w:sz w:val="21"/>
                <w:szCs w:val="21"/>
              </w:rPr>
              <w:t>联系人</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8020" w:type="dxa"/>
            <w:gridSpan w:val="5"/>
            <w:vAlign w:val="center"/>
          </w:tcPr>
          <w:p>
            <w:pPr>
              <w:snapToGrid w:val="0"/>
              <w:spacing w:line="360" w:lineRule="auto"/>
              <w:jc w:val="left"/>
              <w:rPr>
                <w:szCs w:val="21"/>
              </w:rPr>
            </w:pPr>
            <w:r>
              <w:rPr>
                <w:szCs w:val="21"/>
              </w:rPr>
              <w:t>第</w:t>
            </w:r>
            <w:r>
              <w:rPr>
                <w:rFonts w:hint="eastAsia"/>
                <w:szCs w:val="21"/>
              </w:rPr>
              <w:t>一</w:t>
            </w:r>
            <w:r>
              <w:rPr>
                <w:szCs w:val="21"/>
              </w:rPr>
              <w:t>联系人其他信息：</w:t>
            </w:r>
          </w:p>
          <w:p>
            <w:pPr>
              <w:snapToGrid w:val="0"/>
              <w:spacing w:line="360" w:lineRule="auto"/>
              <w:jc w:val="left"/>
              <w:rPr>
                <w:szCs w:val="21"/>
              </w:rPr>
            </w:pPr>
            <w:r>
              <w:rPr>
                <w:szCs w:val="21"/>
              </w:rPr>
              <w:t>姓名：       邮箱：                联系地址与邮编：</w:t>
            </w:r>
          </w:p>
        </w:tc>
      </w:tr>
    </w:tbl>
    <w:p>
      <w:pPr>
        <w:pStyle w:val="8"/>
        <w:snapToGrid w:val="0"/>
        <w:spacing w:before="156" w:beforeLines="50" w:line="360" w:lineRule="auto"/>
        <w:ind w:firstLine="482" w:firstLineChars="200"/>
        <w:rPr>
          <w:b/>
          <w:sz w:val="24"/>
        </w:rPr>
      </w:pPr>
      <w:r>
        <w:rPr>
          <w:b/>
          <w:sz w:val="24"/>
        </w:rPr>
        <w:t>2、培训及防灾防损服务</w:t>
      </w:r>
    </w:p>
    <w:p>
      <w:pPr>
        <w:pStyle w:val="8"/>
        <w:snapToGrid w:val="0"/>
        <w:spacing w:line="360" w:lineRule="auto"/>
        <w:ind w:firstLine="480" w:firstLineChars="200"/>
        <w:rPr>
          <w:sz w:val="24"/>
        </w:rPr>
      </w:pPr>
      <w:r>
        <w:rPr>
          <w:sz w:val="24"/>
        </w:rPr>
        <w:t>本项服务中投标人应列明对于本项目的防灾防损服务具体内容及计划，如培训计划、防灾防损查勘计划等。</w:t>
      </w:r>
    </w:p>
    <w:p>
      <w:pPr>
        <w:pStyle w:val="8"/>
        <w:snapToGrid w:val="0"/>
        <w:spacing w:line="360" w:lineRule="auto"/>
        <w:ind w:firstLine="482" w:firstLineChars="200"/>
        <w:rPr>
          <w:b/>
          <w:sz w:val="24"/>
        </w:rPr>
      </w:pPr>
      <w:r>
        <w:rPr>
          <w:b/>
          <w:sz w:val="24"/>
        </w:rPr>
        <w:t>3、现场查勘承诺</w:t>
      </w:r>
    </w:p>
    <w:p>
      <w:pPr>
        <w:pStyle w:val="8"/>
        <w:snapToGrid w:val="0"/>
        <w:spacing w:line="360" w:lineRule="auto"/>
        <w:ind w:firstLine="480" w:firstLineChars="200"/>
        <w:rPr>
          <w:sz w:val="24"/>
        </w:rPr>
      </w:pPr>
      <w:r>
        <w:rPr>
          <w:sz w:val="24"/>
        </w:rPr>
        <w:t>投标人应列明事故发生后现场查勘人员与联系方式、时限、措施等（</w:t>
      </w:r>
      <w:r>
        <w:rPr>
          <w:b/>
          <w:bCs/>
          <w:sz w:val="24"/>
        </w:rPr>
        <w:t>注意：时限应具有可行性</w:t>
      </w:r>
      <w:r>
        <w:rPr>
          <w:sz w:val="24"/>
        </w:rPr>
        <w:t>）。</w:t>
      </w:r>
    </w:p>
    <w:p>
      <w:pPr>
        <w:pStyle w:val="8"/>
        <w:snapToGrid w:val="0"/>
        <w:spacing w:line="360" w:lineRule="auto"/>
        <w:ind w:firstLine="482" w:firstLineChars="200"/>
        <w:rPr>
          <w:b/>
          <w:sz w:val="24"/>
        </w:rPr>
      </w:pPr>
      <w:r>
        <w:rPr>
          <w:b/>
          <w:sz w:val="24"/>
        </w:rPr>
        <w:t>4、单证审核</w:t>
      </w:r>
    </w:p>
    <w:p>
      <w:pPr>
        <w:pStyle w:val="8"/>
        <w:snapToGrid w:val="0"/>
        <w:spacing w:line="360" w:lineRule="auto"/>
        <w:ind w:firstLine="482" w:firstLineChars="200"/>
        <w:rPr>
          <w:sz w:val="24"/>
        </w:rPr>
      </w:pPr>
      <w:r>
        <w:rPr>
          <w:b/>
          <w:sz w:val="24"/>
        </w:rPr>
        <w:t>投标人应列明索赔材料清单（需分险种详细列明，清单资料应为明确的名称或描述，不得出现“其他必要的单证”或相关类似描述）</w:t>
      </w:r>
      <w:r>
        <w:rPr>
          <w:sz w:val="24"/>
        </w:rPr>
        <w:t>、审核时限等。</w:t>
      </w:r>
    </w:p>
    <w:p>
      <w:pPr>
        <w:pStyle w:val="8"/>
        <w:snapToGrid w:val="0"/>
        <w:spacing w:line="360" w:lineRule="auto"/>
        <w:ind w:firstLine="482" w:firstLineChars="200"/>
        <w:rPr>
          <w:b/>
          <w:sz w:val="24"/>
        </w:rPr>
      </w:pPr>
      <w:r>
        <w:rPr>
          <w:b/>
          <w:sz w:val="24"/>
        </w:rPr>
        <w:t>5、损失理算</w:t>
      </w:r>
    </w:p>
    <w:p>
      <w:pPr>
        <w:pStyle w:val="8"/>
        <w:snapToGrid w:val="0"/>
        <w:spacing w:line="360" w:lineRule="auto"/>
        <w:ind w:firstLine="480" w:firstLineChars="200"/>
        <w:rPr>
          <w:sz w:val="24"/>
        </w:rPr>
      </w:pPr>
      <w:r>
        <w:rPr>
          <w:sz w:val="24"/>
        </w:rPr>
        <w:t>投标人应明确理算时限、聘请公估人机制（提供备选公估人名单）等。</w:t>
      </w:r>
    </w:p>
    <w:p>
      <w:pPr>
        <w:pStyle w:val="8"/>
        <w:snapToGrid w:val="0"/>
        <w:spacing w:line="360" w:lineRule="auto"/>
        <w:ind w:firstLine="482" w:firstLineChars="200"/>
        <w:rPr>
          <w:b/>
          <w:sz w:val="24"/>
        </w:rPr>
      </w:pPr>
      <w:r>
        <w:rPr>
          <w:b/>
          <w:sz w:val="24"/>
        </w:rPr>
        <w:t>6、赔款支付</w:t>
      </w:r>
    </w:p>
    <w:p>
      <w:pPr>
        <w:pStyle w:val="8"/>
        <w:snapToGrid w:val="0"/>
        <w:spacing w:line="360" w:lineRule="auto"/>
        <w:ind w:firstLine="480" w:firstLineChars="200"/>
        <w:rPr>
          <w:sz w:val="24"/>
        </w:rPr>
      </w:pPr>
      <w:r>
        <w:rPr>
          <w:sz w:val="24"/>
        </w:rPr>
        <w:t>投标人应列明预付赔款机制、达成赔偿协议后赔付时限等承诺事项。</w:t>
      </w:r>
    </w:p>
    <w:p>
      <w:pPr>
        <w:pStyle w:val="8"/>
        <w:snapToGrid w:val="0"/>
        <w:spacing w:line="360" w:lineRule="auto"/>
        <w:ind w:firstLine="482" w:firstLineChars="200"/>
        <w:rPr>
          <w:b/>
          <w:sz w:val="24"/>
        </w:rPr>
      </w:pPr>
      <w:r>
        <w:rPr>
          <w:b/>
          <w:sz w:val="24"/>
        </w:rPr>
        <w:t>7、小额案件快赔处理</w:t>
      </w:r>
    </w:p>
    <w:p>
      <w:pPr>
        <w:pStyle w:val="8"/>
        <w:snapToGrid w:val="0"/>
        <w:spacing w:line="360" w:lineRule="auto"/>
        <w:ind w:firstLine="480" w:firstLineChars="200"/>
        <w:rPr>
          <w:sz w:val="24"/>
        </w:rPr>
      </w:pPr>
      <w:r>
        <w:rPr>
          <w:sz w:val="24"/>
        </w:rPr>
        <w:t>投标人应列明小额案件快赔处理机制，并明确具体的免查勘案件金额。</w:t>
      </w:r>
    </w:p>
    <w:p>
      <w:pPr>
        <w:pStyle w:val="8"/>
        <w:snapToGrid w:val="0"/>
        <w:spacing w:line="360" w:lineRule="auto"/>
        <w:ind w:firstLine="0"/>
        <w:rPr>
          <w:b/>
          <w:bCs/>
          <w:sz w:val="24"/>
        </w:rPr>
      </w:pPr>
      <w:r>
        <w:rPr>
          <w:b/>
          <w:bCs/>
          <w:sz w:val="24"/>
        </w:rPr>
        <w:t xml:space="preserve">    8、其他</w:t>
      </w:r>
    </w:p>
    <w:p>
      <w:pPr>
        <w:pStyle w:val="8"/>
        <w:snapToGrid w:val="0"/>
        <w:spacing w:line="360" w:lineRule="auto"/>
        <w:ind w:firstLine="480" w:firstLineChars="200"/>
        <w:rPr>
          <w:sz w:val="24"/>
        </w:rPr>
      </w:pPr>
      <w:r>
        <w:rPr>
          <w:sz w:val="24"/>
        </w:rPr>
        <w:t>投保人可提供的其他特色保险服务。</w:t>
      </w:r>
    </w:p>
    <w:p>
      <w:pPr>
        <w:snapToGrid w:val="0"/>
        <w:spacing w:line="360" w:lineRule="auto"/>
        <w:rPr>
          <w:sz w:val="24"/>
        </w:rPr>
      </w:pP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     期：</w:t>
      </w:r>
    </w:p>
    <w:p>
      <w:pPr>
        <w:snapToGrid w:val="0"/>
        <w:spacing w:line="360" w:lineRule="auto"/>
        <w:ind w:firstLine="480"/>
        <w:rPr>
          <w:sz w:val="24"/>
        </w:rPr>
      </w:pPr>
      <w:r>
        <w:rPr>
          <w:sz w:val="24"/>
          <w:u w:val="single"/>
        </w:rPr>
        <w:br w:type="page"/>
      </w:r>
      <w:bookmarkStart w:id="315" w:name="_Toc25100"/>
      <w:bookmarkStart w:id="316" w:name="_Toc401000069"/>
    </w:p>
    <w:p>
      <w:pPr>
        <w:pStyle w:val="6"/>
        <w:snapToGrid w:val="0"/>
        <w:spacing w:before="120" w:after="120" w:line="240" w:lineRule="auto"/>
        <w:jc w:val="center"/>
        <w:rPr>
          <w:sz w:val="28"/>
          <w:szCs w:val="28"/>
        </w:rPr>
      </w:pPr>
      <w:bookmarkStart w:id="317" w:name="_Toc11990"/>
      <w:r>
        <w:rPr>
          <w:rFonts w:hint="eastAsia"/>
          <w:sz w:val="28"/>
          <w:szCs w:val="28"/>
        </w:rPr>
        <w:t>七</w:t>
      </w:r>
      <w:r>
        <w:rPr>
          <w:sz w:val="28"/>
          <w:szCs w:val="28"/>
        </w:rPr>
        <w:t>、</w:t>
      </w:r>
      <w:r>
        <w:rPr>
          <w:rFonts w:hint="eastAsia"/>
          <w:sz w:val="28"/>
          <w:szCs w:val="28"/>
        </w:rPr>
        <w:t>保险</w:t>
      </w:r>
      <w:r>
        <w:rPr>
          <w:sz w:val="28"/>
          <w:szCs w:val="28"/>
        </w:rPr>
        <w:t>经纪佣金确认函</w:t>
      </w:r>
      <w:bookmarkEnd w:id="315"/>
      <w:bookmarkEnd w:id="316"/>
      <w:bookmarkEnd w:id="317"/>
    </w:p>
    <w:p>
      <w:pPr>
        <w:snapToGrid w:val="0"/>
        <w:jc w:val="center"/>
        <w:rPr>
          <w:b/>
          <w:sz w:val="24"/>
        </w:rPr>
      </w:pPr>
    </w:p>
    <w:p>
      <w:pPr>
        <w:pStyle w:val="8"/>
        <w:snapToGrid w:val="0"/>
        <w:spacing w:line="360" w:lineRule="auto"/>
        <w:ind w:firstLine="480" w:firstLineChars="200"/>
        <w:rPr>
          <w:sz w:val="24"/>
        </w:rPr>
      </w:pPr>
    </w:p>
    <w:p>
      <w:pPr>
        <w:snapToGrid w:val="0"/>
        <w:spacing w:line="360" w:lineRule="auto"/>
        <w:rPr>
          <w:sz w:val="24"/>
        </w:rPr>
      </w:pPr>
      <w:r>
        <w:rPr>
          <w:sz w:val="24"/>
        </w:rPr>
        <w:t>江泰保险经纪股份有限公司</w:t>
      </w:r>
      <w:r>
        <w:rPr>
          <w:rFonts w:hint="eastAsia"/>
          <w:sz w:val="24"/>
        </w:rPr>
        <w:t>南通分公司</w:t>
      </w:r>
      <w:r>
        <w:rPr>
          <w:sz w:val="24"/>
        </w:rPr>
        <w:t>：</w:t>
      </w:r>
    </w:p>
    <w:p>
      <w:pPr>
        <w:snapToGrid w:val="0"/>
        <w:spacing w:line="360" w:lineRule="auto"/>
        <w:rPr>
          <w:sz w:val="24"/>
        </w:rPr>
      </w:pPr>
    </w:p>
    <w:p>
      <w:pPr>
        <w:spacing w:line="480" w:lineRule="auto"/>
        <w:ind w:firstLine="480"/>
        <w:rPr>
          <w:sz w:val="24"/>
        </w:rPr>
      </w:pPr>
      <w:r>
        <w:rPr>
          <w:sz w:val="24"/>
        </w:rPr>
        <w:t>我公司承诺，</w:t>
      </w:r>
      <w:r>
        <w:rPr>
          <w:rFonts w:hint="eastAsia"/>
          <w:sz w:val="24"/>
        </w:rPr>
        <w:t>“江苏大生集团有限公司</w:t>
      </w:r>
      <w:r>
        <w:rPr>
          <w:rFonts w:hint="eastAsia"/>
          <w:sz w:val="24"/>
          <w:lang w:val="en-US" w:eastAsia="zh-CN"/>
        </w:rPr>
        <w:t>部分子公司</w:t>
      </w:r>
      <w:r>
        <w:rPr>
          <w:rFonts w:hint="eastAsia" w:ascii="宋体" w:hAnsi="宋体" w:cs="宋体"/>
          <w:sz w:val="24"/>
          <w:lang w:val="en-US" w:eastAsia="zh-CN"/>
        </w:rPr>
        <w:t>（合肥、滨州、聊城）</w:t>
      </w:r>
      <w:r>
        <w:rPr>
          <w:rFonts w:hint="eastAsia"/>
          <w:sz w:val="24"/>
          <w:lang w:val="en-US" w:eastAsia="zh-CN"/>
        </w:rPr>
        <w:t>2023年度</w:t>
      </w:r>
      <w:r>
        <w:rPr>
          <w:rFonts w:hint="eastAsia"/>
          <w:sz w:val="24"/>
        </w:rPr>
        <w:t>财产保险项目”</w:t>
      </w:r>
      <w:r>
        <w:rPr>
          <w:sz w:val="24"/>
        </w:rPr>
        <w:t>的保险经纪佣金合计为：</w:t>
      </w:r>
      <w:r>
        <w:rPr>
          <w:rFonts w:hint="eastAsia"/>
          <w:sz w:val="24"/>
        </w:rPr>
        <w:t>财产综合</w:t>
      </w:r>
      <w:r>
        <w:rPr>
          <w:sz w:val="24"/>
        </w:rPr>
        <w:t>险</w:t>
      </w:r>
      <w:r>
        <w:rPr>
          <w:rFonts w:hint="eastAsia"/>
          <w:sz w:val="24"/>
        </w:rPr>
        <w:t>、机器损坏险（请在下面选项中打“√”）</w:t>
      </w:r>
    </w:p>
    <w:p>
      <w:pPr>
        <w:spacing w:line="480" w:lineRule="auto"/>
        <w:ind w:firstLine="480"/>
        <w:rPr>
          <w:sz w:val="24"/>
        </w:rPr>
      </w:pPr>
      <w:r>
        <w:rPr>
          <w:rFonts w:hint="eastAsia"/>
          <w:sz w:val="24"/>
        </w:rPr>
        <w:t>（ ）该险种项下税款+保险费（指营改增后税价分离后的保费，下同）的15%【四舍五入，保留小数点后两位】；</w:t>
      </w:r>
    </w:p>
    <w:p>
      <w:pPr>
        <w:spacing w:line="480" w:lineRule="auto"/>
        <w:ind w:firstLine="480"/>
        <w:rPr>
          <w:sz w:val="24"/>
        </w:rPr>
      </w:pPr>
      <w:r>
        <w:rPr>
          <w:rFonts w:hint="eastAsia"/>
          <w:sz w:val="24"/>
        </w:rPr>
        <w:t>（ ）保险费的15.90%【四舍五入，保留小数点后两位】。</w:t>
      </w:r>
    </w:p>
    <w:p>
      <w:pPr>
        <w:spacing w:line="480" w:lineRule="auto"/>
        <w:ind w:firstLine="480"/>
        <w:rPr>
          <w:sz w:val="24"/>
        </w:rPr>
      </w:pPr>
      <w:r>
        <w:rPr>
          <w:rFonts w:hint="eastAsia"/>
          <w:sz w:val="24"/>
        </w:rPr>
        <w:t>我司承诺在保险费到帐后收到经纪费发票的10个工作日内支付相应的佣金</w:t>
      </w:r>
      <w:r>
        <w:rPr>
          <w:sz w:val="24"/>
        </w:rPr>
        <w:t>。</w:t>
      </w:r>
    </w:p>
    <w:p>
      <w:pPr>
        <w:snapToGrid w:val="0"/>
        <w:spacing w:line="360" w:lineRule="auto"/>
        <w:ind w:firstLine="480"/>
        <w:rPr>
          <w:sz w:val="24"/>
        </w:rPr>
      </w:pPr>
    </w:p>
    <w:p>
      <w:pPr>
        <w:snapToGrid w:val="0"/>
        <w:spacing w:line="360" w:lineRule="auto"/>
        <w:ind w:firstLine="480"/>
        <w:rPr>
          <w:sz w:val="24"/>
        </w:rPr>
      </w:pPr>
      <w:r>
        <w:rPr>
          <w:sz w:val="24"/>
        </w:rPr>
        <w:t xml:space="preserve">法定代表人或授权代理人（签字）： </w:t>
      </w:r>
    </w:p>
    <w:p>
      <w:pPr>
        <w:snapToGrid w:val="0"/>
        <w:spacing w:line="360" w:lineRule="auto"/>
        <w:ind w:firstLine="480"/>
        <w:rPr>
          <w:sz w:val="24"/>
        </w:rPr>
      </w:pPr>
      <w:r>
        <w:rPr>
          <w:sz w:val="24"/>
        </w:rPr>
        <w:t xml:space="preserve">投标人（公章）： </w:t>
      </w:r>
    </w:p>
    <w:p>
      <w:pPr>
        <w:snapToGrid w:val="0"/>
        <w:spacing w:line="360" w:lineRule="auto"/>
        <w:ind w:firstLine="480"/>
        <w:rPr>
          <w:sz w:val="24"/>
        </w:rPr>
      </w:pPr>
      <w:r>
        <w:rPr>
          <w:sz w:val="24"/>
        </w:rPr>
        <w:t>日期：      年     月    日</w:t>
      </w:r>
    </w:p>
    <w:p>
      <w:pPr>
        <w:pStyle w:val="8"/>
        <w:snapToGrid w:val="0"/>
        <w:spacing w:line="360" w:lineRule="auto"/>
        <w:ind w:firstLine="480" w:firstLineChars="200"/>
        <w:rPr>
          <w:sz w:val="24"/>
        </w:rPr>
      </w:pPr>
    </w:p>
    <w:p>
      <w:pPr>
        <w:pStyle w:val="6"/>
        <w:snapToGrid w:val="0"/>
        <w:spacing w:before="120" w:after="120" w:line="240" w:lineRule="auto"/>
        <w:jc w:val="center"/>
        <w:rPr>
          <w:sz w:val="28"/>
          <w:szCs w:val="28"/>
        </w:rPr>
      </w:pPr>
      <w:r>
        <w:br w:type="page"/>
      </w:r>
      <w:bookmarkStart w:id="318" w:name="_Toc4404"/>
      <w:bookmarkStart w:id="319" w:name="_Toc401000070"/>
      <w:bookmarkStart w:id="320" w:name="_Toc22091"/>
      <w:r>
        <w:rPr>
          <w:rFonts w:hint="eastAsia"/>
          <w:sz w:val="28"/>
          <w:szCs w:val="28"/>
        </w:rPr>
        <w:t>八</w:t>
      </w:r>
      <w:r>
        <w:rPr>
          <w:sz w:val="28"/>
          <w:szCs w:val="28"/>
        </w:rPr>
        <w:t>、公司资信及承保理赔情况汇总表</w:t>
      </w:r>
      <w:bookmarkEnd w:id="318"/>
      <w:bookmarkEnd w:id="319"/>
      <w:bookmarkEnd w:id="320"/>
    </w:p>
    <w:p>
      <w:pPr>
        <w:pStyle w:val="8"/>
        <w:snapToGrid w:val="0"/>
        <w:spacing w:line="360" w:lineRule="auto"/>
        <w:ind w:firstLine="0"/>
        <w:rPr>
          <w:sz w:val="24"/>
        </w:rPr>
      </w:pPr>
    </w:p>
    <w:p>
      <w:pPr>
        <w:snapToGrid w:val="0"/>
        <w:spacing w:line="360" w:lineRule="auto"/>
        <w:ind w:firstLine="482" w:firstLineChars="200"/>
        <w:rPr>
          <w:b/>
          <w:sz w:val="24"/>
          <w:u w:val="single"/>
        </w:rPr>
      </w:pPr>
      <w:r>
        <w:rPr>
          <w:b/>
          <w:i/>
          <w:iCs/>
          <w:sz w:val="24"/>
          <w:u w:val="single"/>
        </w:rPr>
        <w:t>注：投标人应按照下列格式提供相关数据及证明材料，投标人应保证其内容的准确性和真实性，如发现含有错误、虚假信息误导评标，一经查实，该投标人将自动丧失中标资格。</w:t>
      </w:r>
    </w:p>
    <w:p>
      <w:pPr>
        <w:pStyle w:val="8"/>
        <w:snapToGrid w:val="0"/>
        <w:spacing w:line="360" w:lineRule="auto"/>
        <w:ind w:firstLine="480" w:firstLineChars="200"/>
        <w:rPr>
          <w:sz w:val="24"/>
        </w:rPr>
      </w:pPr>
    </w:p>
    <w:p>
      <w:pPr>
        <w:pStyle w:val="8"/>
        <w:snapToGrid w:val="0"/>
        <w:spacing w:line="360" w:lineRule="auto"/>
        <w:ind w:firstLine="480" w:firstLineChars="200"/>
        <w:rPr>
          <w:b/>
          <w:sz w:val="24"/>
        </w:rPr>
      </w:pPr>
      <w:r>
        <w:rPr>
          <w:sz w:val="24"/>
        </w:rPr>
        <w:t>投标人应依照下列项目如实提供其相关数据：</w:t>
      </w:r>
    </w:p>
    <w:tbl>
      <w:tblPr>
        <w:tblStyle w:val="2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46"/>
        <w:gridCol w:w="2182"/>
        <w:gridCol w:w="1614"/>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9" w:type="dxa"/>
            <w:gridSpan w:val="2"/>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项目</w:t>
            </w:r>
          </w:p>
        </w:tc>
        <w:tc>
          <w:tcPr>
            <w:tcW w:w="2182" w:type="dxa"/>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20</w:t>
            </w:r>
            <w:r>
              <w:rPr>
                <w:rFonts w:hint="eastAsia"/>
                <w:b/>
                <w:kern w:val="2"/>
                <w:szCs w:val="21"/>
                <w:lang w:val="en-US" w:eastAsia="zh-CN"/>
              </w:rPr>
              <w:t>20</w:t>
            </w:r>
            <w:r>
              <w:rPr>
                <w:b/>
                <w:kern w:val="2"/>
                <w:szCs w:val="21"/>
              </w:rPr>
              <w:t>年</w:t>
            </w:r>
          </w:p>
        </w:tc>
        <w:tc>
          <w:tcPr>
            <w:tcW w:w="1614" w:type="dxa"/>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20</w:t>
            </w:r>
            <w:r>
              <w:rPr>
                <w:rFonts w:hint="eastAsia"/>
                <w:b/>
                <w:kern w:val="2"/>
                <w:szCs w:val="21"/>
              </w:rPr>
              <w:t>2</w:t>
            </w:r>
            <w:r>
              <w:rPr>
                <w:rFonts w:hint="eastAsia"/>
                <w:b/>
                <w:kern w:val="2"/>
                <w:szCs w:val="21"/>
                <w:lang w:val="en-US" w:eastAsia="zh-CN"/>
              </w:rPr>
              <w:t>1</w:t>
            </w:r>
            <w:r>
              <w:rPr>
                <w:b/>
                <w:kern w:val="2"/>
                <w:szCs w:val="21"/>
              </w:rPr>
              <w:t>年</w:t>
            </w:r>
          </w:p>
        </w:tc>
        <w:tc>
          <w:tcPr>
            <w:tcW w:w="1982" w:type="dxa"/>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20</w:t>
            </w:r>
            <w:r>
              <w:rPr>
                <w:rFonts w:hint="eastAsia"/>
                <w:b/>
                <w:kern w:val="2"/>
                <w:szCs w:val="21"/>
              </w:rPr>
              <w:t>2</w:t>
            </w:r>
            <w:r>
              <w:rPr>
                <w:rFonts w:hint="eastAsia"/>
                <w:b/>
                <w:kern w:val="2"/>
                <w:szCs w:val="21"/>
                <w:lang w:val="en-US" w:eastAsia="zh-CN"/>
              </w:rPr>
              <w:t>2</w:t>
            </w:r>
            <w:r>
              <w:rPr>
                <w:b/>
                <w:kern w:val="2"/>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69" w:type="dxa"/>
            <w:gridSpan w:val="2"/>
            <w:vAlign w:val="center"/>
          </w:tcPr>
          <w:p>
            <w:pPr>
              <w:pStyle w:val="8"/>
              <w:snapToGrid w:val="0"/>
              <w:spacing w:line="360" w:lineRule="auto"/>
              <w:ind w:firstLine="0"/>
              <w:jc w:val="center"/>
              <w:rPr>
                <w:kern w:val="2"/>
                <w:szCs w:val="21"/>
              </w:rPr>
            </w:pPr>
            <w:r>
              <w:rPr>
                <w:rFonts w:hint="eastAsia"/>
                <w:kern w:val="2"/>
                <w:szCs w:val="21"/>
              </w:rPr>
              <w:t>总公司</w:t>
            </w:r>
            <w:r>
              <w:rPr>
                <w:kern w:val="2"/>
                <w:szCs w:val="21"/>
              </w:rPr>
              <w:t>注册资本金</w:t>
            </w:r>
          </w:p>
        </w:tc>
        <w:tc>
          <w:tcPr>
            <w:tcW w:w="5778" w:type="dxa"/>
            <w:gridSpan w:val="3"/>
            <w:vAlign w:val="center"/>
          </w:tcPr>
          <w:p>
            <w:pPr>
              <w:pStyle w:val="8"/>
              <w:snapToGrid w:val="0"/>
              <w:spacing w:line="360" w:lineRule="auto"/>
              <w:jc w:val="center"/>
              <w:rPr>
                <w:kern w:val="2"/>
                <w:szCs w:val="21"/>
              </w:rPr>
            </w:pPr>
            <w:r>
              <w:rPr>
                <w:kern w:val="2"/>
                <w:szCs w:val="21"/>
              </w:rPr>
              <w:t>（最新数据）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3" w:type="dxa"/>
            <w:vMerge w:val="restart"/>
            <w:tcBorders>
              <w:top w:val="thinThickSmallGap" w:color="auto" w:sz="24" w:space="0"/>
            </w:tcBorders>
            <w:vAlign w:val="center"/>
          </w:tcPr>
          <w:p>
            <w:pPr>
              <w:pStyle w:val="8"/>
              <w:snapToGrid w:val="0"/>
              <w:spacing w:line="360" w:lineRule="auto"/>
              <w:ind w:firstLine="0"/>
              <w:jc w:val="center"/>
              <w:rPr>
                <w:kern w:val="2"/>
                <w:szCs w:val="21"/>
              </w:rPr>
            </w:pPr>
            <w:r>
              <w:rPr>
                <w:rFonts w:hint="eastAsia"/>
                <w:kern w:val="2"/>
                <w:szCs w:val="21"/>
              </w:rPr>
              <w:t>总公司</w:t>
            </w:r>
            <w:r>
              <w:rPr>
                <w:kern w:val="2"/>
                <w:szCs w:val="21"/>
              </w:rPr>
              <w:t>偿付能力</w:t>
            </w:r>
          </w:p>
        </w:tc>
        <w:tc>
          <w:tcPr>
            <w:tcW w:w="3928" w:type="dxa"/>
            <w:gridSpan w:val="2"/>
            <w:tcBorders>
              <w:top w:val="thinThickSmallGap" w:color="auto" w:sz="24" w:space="0"/>
            </w:tcBorders>
            <w:vAlign w:val="center"/>
          </w:tcPr>
          <w:p>
            <w:pPr>
              <w:pStyle w:val="8"/>
              <w:snapToGrid w:val="0"/>
              <w:spacing w:line="360" w:lineRule="auto"/>
              <w:ind w:firstLine="0"/>
              <w:jc w:val="center"/>
              <w:rPr>
                <w:kern w:val="2"/>
                <w:szCs w:val="21"/>
              </w:rPr>
            </w:pPr>
            <w:r>
              <w:rPr>
                <w:kern w:val="2"/>
                <w:szCs w:val="21"/>
              </w:rPr>
              <w:t>实际偿付能力</w:t>
            </w:r>
          </w:p>
        </w:tc>
        <w:tc>
          <w:tcPr>
            <w:tcW w:w="3596" w:type="dxa"/>
            <w:gridSpan w:val="2"/>
            <w:tcBorders>
              <w:top w:val="thinThickSmallGap" w:color="auto" w:sz="24" w:space="0"/>
            </w:tcBorders>
            <w:vAlign w:val="center"/>
          </w:tcPr>
          <w:p>
            <w:pPr>
              <w:pStyle w:val="8"/>
              <w:snapToGrid w:val="0"/>
              <w:spacing w:line="360" w:lineRule="auto"/>
              <w:jc w:val="center"/>
              <w:rPr>
                <w:kern w:val="2"/>
                <w:szCs w:val="21"/>
              </w:rPr>
            </w:pPr>
            <w:r>
              <w:rPr>
                <w:rFonts w:hint="eastAsia"/>
                <w:kern w:val="2"/>
                <w:szCs w:val="21"/>
              </w:rPr>
              <w:t>（202</w:t>
            </w:r>
            <w:r>
              <w:rPr>
                <w:rFonts w:hint="eastAsia"/>
                <w:kern w:val="2"/>
                <w:szCs w:val="21"/>
                <w:lang w:val="en-US" w:eastAsia="zh-CN"/>
              </w:rPr>
              <w:t>2</w:t>
            </w:r>
            <w:r>
              <w:rPr>
                <w:rFonts w:hint="eastAsia"/>
                <w:kern w:val="2"/>
                <w:szCs w:val="21"/>
              </w:rPr>
              <w:t>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3" w:type="dxa"/>
            <w:vMerge w:val="continue"/>
            <w:vAlign w:val="center"/>
          </w:tcPr>
          <w:p>
            <w:pPr>
              <w:pStyle w:val="8"/>
              <w:snapToGrid w:val="0"/>
              <w:spacing w:line="360" w:lineRule="auto"/>
              <w:ind w:firstLine="0"/>
              <w:jc w:val="center"/>
              <w:rPr>
                <w:kern w:val="2"/>
                <w:szCs w:val="21"/>
              </w:rPr>
            </w:pPr>
          </w:p>
        </w:tc>
        <w:tc>
          <w:tcPr>
            <w:tcW w:w="3928" w:type="dxa"/>
            <w:gridSpan w:val="2"/>
            <w:vAlign w:val="center"/>
          </w:tcPr>
          <w:p>
            <w:pPr>
              <w:pStyle w:val="8"/>
              <w:snapToGrid w:val="0"/>
              <w:spacing w:line="360" w:lineRule="auto"/>
              <w:ind w:firstLine="0"/>
              <w:jc w:val="center"/>
              <w:rPr>
                <w:kern w:val="2"/>
                <w:szCs w:val="21"/>
              </w:rPr>
            </w:pPr>
            <w:r>
              <w:rPr>
                <w:kern w:val="2"/>
                <w:szCs w:val="21"/>
              </w:rPr>
              <w:t>最低偿付能力</w:t>
            </w:r>
          </w:p>
        </w:tc>
        <w:tc>
          <w:tcPr>
            <w:tcW w:w="3596" w:type="dxa"/>
            <w:gridSpan w:val="2"/>
            <w:vAlign w:val="center"/>
          </w:tcPr>
          <w:p>
            <w:pPr>
              <w:pStyle w:val="8"/>
              <w:snapToGrid w:val="0"/>
              <w:spacing w:line="360" w:lineRule="auto"/>
              <w:jc w:val="center"/>
              <w:rPr>
                <w:kern w:val="2"/>
                <w:szCs w:val="21"/>
              </w:rPr>
            </w:pPr>
            <w:r>
              <w:rPr>
                <w:rFonts w:hint="eastAsia"/>
                <w:kern w:val="2"/>
                <w:szCs w:val="21"/>
              </w:rPr>
              <w:t>（20</w:t>
            </w:r>
            <w:r>
              <w:rPr>
                <w:rFonts w:hint="eastAsia"/>
                <w:kern w:val="2"/>
                <w:szCs w:val="21"/>
                <w:lang w:val="en-US" w:eastAsia="zh-CN"/>
              </w:rPr>
              <w:t>22</w:t>
            </w:r>
            <w:r>
              <w:rPr>
                <w:rFonts w:hint="eastAsia"/>
                <w:kern w:val="2"/>
                <w:szCs w:val="21"/>
              </w:rPr>
              <w:t>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3" w:type="dxa"/>
            <w:vMerge w:val="continue"/>
            <w:vAlign w:val="center"/>
          </w:tcPr>
          <w:p>
            <w:pPr>
              <w:pStyle w:val="8"/>
              <w:snapToGrid w:val="0"/>
              <w:spacing w:line="360" w:lineRule="auto"/>
              <w:ind w:firstLine="0"/>
              <w:jc w:val="center"/>
              <w:rPr>
                <w:kern w:val="2"/>
                <w:szCs w:val="21"/>
              </w:rPr>
            </w:pPr>
          </w:p>
        </w:tc>
        <w:tc>
          <w:tcPr>
            <w:tcW w:w="3928" w:type="dxa"/>
            <w:gridSpan w:val="2"/>
            <w:vAlign w:val="center"/>
          </w:tcPr>
          <w:p>
            <w:pPr>
              <w:pStyle w:val="8"/>
              <w:snapToGrid w:val="0"/>
              <w:spacing w:line="360" w:lineRule="auto"/>
              <w:ind w:firstLine="0"/>
              <w:jc w:val="center"/>
              <w:rPr>
                <w:kern w:val="2"/>
                <w:szCs w:val="21"/>
              </w:rPr>
            </w:pPr>
            <w:r>
              <w:rPr>
                <w:rFonts w:hint="eastAsia"/>
                <w:kern w:val="2"/>
                <w:szCs w:val="21"/>
              </w:rPr>
              <w:t>综合</w:t>
            </w:r>
            <w:r>
              <w:rPr>
                <w:kern w:val="2"/>
                <w:szCs w:val="21"/>
              </w:rPr>
              <w:t>偿付能力充足率</w:t>
            </w:r>
          </w:p>
        </w:tc>
        <w:tc>
          <w:tcPr>
            <w:tcW w:w="3596" w:type="dxa"/>
            <w:gridSpan w:val="2"/>
            <w:vAlign w:val="center"/>
          </w:tcPr>
          <w:p>
            <w:pPr>
              <w:pStyle w:val="8"/>
              <w:snapToGrid w:val="0"/>
              <w:spacing w:line="360" w:lineRule="auto"/>
              <w:jc w:val="center"/>
              <w:rPr>
                <w:kern w:val="2"/>
                <w:szCs w:val="21"/>
              </w:rPr>
            </w:pPr>
            <w:r>
              <w:rPr>
                <w:rFonts w:hint="eastAsia"/>
                <w:kern w:val="2"/>
                <w:szCs w:val="21"/>
              </w:rPr>
              <w:t>（202</w:t>
            </w:r>
            <w:r>
              <w:rPr>
                <w:rFonts w:hint="eastAsia"/>
                <w:kern w:val="2"/>
                <w:szCs w:val="21"/>
                <w:lang w:val="en-US" w:eastAsia="zh-CN"/>
              </w:rPr>
              <w:t>2</w:t>
            </w:r>
            <w:r>
              <w:rPr>
                <w:rFonts w:hint="eastAsia"/>
                <w:kern w:val="2"/>
                <w:szCs w:val="21"/>
              </w:rPr>
              <w:t>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123" w:type="dxa"/>
            <w:vMerge w:val="restart"/>
            <w:vAlign w:val="center"/>
          </w:tcPr>
          <w:p>
            <w:pPr>
              <w:pStyle w:val="8"/>
              <w:snapToGrid w:val="0"/>
              <w:spacing w:line="360" w:lineRule="auto"/>
              <w:ind w:firstLine="0"/>
              <w:rPr>
                <w:kern w:val="2"/>
                <w:szCs w:val="21"/>
              </w:rPr>
            </w:pPr>
            <w:r>
              <w:rPr>
                <w:rFonts w:hint="eastAsia"/>
                <w:kern w:val="2"/>
                <w:szCs w:val="21"/>
              </w:rPr>
              <w:t>投保单位分支机构</w:t>
            </w:r>
          </w:p>
        </w:tc>
        <w:tc>
          <w:tcPr>
            <w:tcW w:w="1746" w:type="dxa"/>
            <w:vAlign w:val="center"/>
          </w:tcPr>
          <w:p>
            <w:pPr>
              <w:pStyle w:val="8"/>
              <w:snapToGrid w:val="0"/>
              <w:spacing w:line="360" w:lineRule="auto"/>
              <w:ind w:firstLine="0"/>
              <w:rPr>
                <w:kern w:val="2"/>
                <w:szCs w:val="21"/>
              </w:rPr>
            </w:pPr>
            <w:r>
              <w:rPr>
                <w:rFonts w:hint="eastAsia"/>
                <w:kern w:val="2"/>
                <w:szCs w:val="21"/>
              </w:rPr>
              <w:t>保费收入</w:t>
            </w:r>
          </w:p>
        </w:tc>
        <w:tc>
          <w:tcPr>
            <w:tcW w:w="2182" w:type="dxa"/>
            <w:vAlign w:val="center"/>
          </w:tcPr>
          <w:p>
            <w:pPr>
              <w:pStyle w:val="8"/>
              <w:snapToGrid w:val="0"/>
              <w:spacing w:line="360" w:lineRule="auto"/>
              <w:jc w:val="center"/>
              <w:rPr>
                <w:kern w:val="2"/>
                <w:szCs w:val="21"/>
              </w:rPr>
            </w:pPr>
          </w:p>
        </w:tc>
        <w:tc>
          <w:tcPr>
            <w:tcW w:w="1614" w:type="dxa"/>
            <w:vAlign w:val="center"/>
          </w:tcPr>
          <w:p>
            <w:pPr>
              <w:pStyle w:val="8"/>
              <w:snapToGrid w:val="0"/>
              <w:spacing w:line="360" w:lineRule="auto"/>
              <w:ind w:firstLine="0"/>
              <w:jc w:val="center"/>
              <w:rPr>
                <w:i/>
                <w:kern w:val="2"/>
                <w:szCs w:val="21"/>
              </w:rPr>
            </w:pPr>
          </w:p>
        </w:tc>
        <w:tc>
          <w:tcPr>
            <w:tcW w:w="1982" w:type="dxa"/>
            <w:vAlign w:val="center"/>
          </w:tcPr>
          <w:p>
            <w:pPr>
              <w:pStyle w:val="8"/>
              <w:snapToGrid w:val="0"/>
              <w:spacing w:line="360" w:lineRule="auto"/>
              <w:ind w:firstLine="0"/>
              <w:jc w:val="center"/>
              <w:rPr>
                <w:i/>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123" w:type="dxa"/>
            <w:vMerge w:val="continue"/>
            <w:vAlign w:val="center"/>
          </w:tcPr>
          <w:p>
            <w:pPr>
              <w:pStyle w:val="8"/>
              <w:snapToGrid w:val="0"/>
              <w:spacing w:line="360" w:lineRule="auto"/>
              <w:jc w:val="center"/>
              <w:rPr>
                <w:kern w:val="2"/>
                <w:szCs w:val="21"/>
              </w:rPr>
            </w:pPr>
          </w:p>
        </w:tc>
        <w:tc>
          <w:tcPr>
            <w:tcW w:w="1746" w:type="dxa"/>
            <w:vAlign w:val="center"/>
          </w:tcPr>
          <w:p>
            <w:pPr>
              <w:pStyle w:val="8"/>
              <w:snapToGrid w:val="0"/>
              <w:spacing w:line="360" w:lineRule="auto"/>
              <w:ind w:firstLine="0"/>
              <w:rPr>
                <w:kern w:val="2"/>
                <w:szCs w:val="21"/>
              </w:rPr>
            </w:pPr>
            <w:r>
              <w:rPr>
                <w:rFonts w:hint="eastAsia"/>
                <w:kern w:val="2"/>
                <w:szCs w:val="21"/>
              </w:rPr>
              <w:t>赔款支出</w:t>
            </w:r>
          </w:p>
        </w:tc>
        <w:tc>
          <w:tcPr>
            <w:tcW w:w="2182" w:type="dxa"/>
            <w:vAlign w:val="center"/>
          </w:tcPr>
          <w:p>
            <w:pPr>
              <w:pStyle w:val="8"/>
              <w:snapToGrid w:val="0"/>
              <w:spacing w:line="360" w:lineRule="auto"/>
              <w:jc w:val="center"/>
              <w:rPr>
                <w:kern w:val="2"/>
                <w:szCs w:val="21"/>
              </w:rPr>
            </w:pPr>
          </w:p>
        </w:tc>
        <w:tc>
          <w:tcPr>
            <w:tcW w:w="1614" w:type="dxa"/>
            <w:vAlign w:val="center"/>
          </w:tcPr>
          <w:p>
            <w:pPr>
              <w:pStyle w:val="8"/>
              <w:snapToGrid w:val="0"/>
              <w:spacing w:line="360" w:lineRule="auto"/>
              <w:ind w:firstLine="0"/>
              <w:jc w:val="center"/>
              <w:rPr>
                <w:i/>
                <w:kern w:val="2"/>
                <w:szCs w:val="21"/>
              </w:rPr>
            </w:pPr>
          </w:p>
        </w:tc>
        <w:tc>
          <w:tcPr>
            <w:tcW w:w="1982" w:type="dxa"/>
            <w:vAlign w:val="center"/>
          </w:tcPr>
          <w:p>
            <w:pPr>
              <w:pStyle w:val="8"/>
              <w:snapToGrid w:val="0"/>
              <w:spacing w:line="360" w:lineRule="auto"/>
              <w:ind w:firstLine="0"/>
              <w:jc w:val="center"/>
              <w:rPr>
                <w:i/>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23" w:type="dxa"/>
            <w:vMerge w:val="continue"/>
            <w:vAlign w:val="center"/>
          </w:tcPr>
          <w:p>
            <w:pPr>
              <w:pStyle w:val="8"/>
              <w:snapToGrid w:val="0"/>
              <w:spacing w:line="360" w:lineRule="auto"/>
              <w:jc w:val="center"/>
              <w:rPr>
                <w:kern w:val="2"/>
                <w:szCs w:val="21"/>
              </w:rPr>
            </w:pPr>
          </w:p>
        </w:tc>
        <w:tc>
          <w:tcPr>
            <w:tcW w:w="1746" w:type="dxa"/>
            <w:vAlign w:val="center"/>
          </w:tcPr>
          <w:p>
            <w:pPr>
              <w:pStyle w:val="8"/>
              <w:snapToGrid w:val="0"/>
              <w:spacing w:line="360" w:lineRule="auto"/>
              <w:ind w:firstLine="0"/>
              <w:rPr>
                <w:kern w:val="2"/>
                <w:szCs w:val="21"/>
              </w:rPr>
            </w:pPr>
            <w:r>
              <w:rPr>
                <w:rFonts w:hint="eastAsia"/>
                <w:kern w:val="2"/>
                <w:szCs w:val="21"/>
              </w:rPr>
              <w:t>赔付率</w:t>
            </w:r>
          </w:p>
        </w:tc>
        <w:tc>
          <w:tcPr>
            <w:tcW w:w="2182" w:type="dxa"/>
            <w:vAlign w:val="center"/>
          </w:tcPr>
          <w:p>
            <w:pPr>
              <w:pStyle w:val="8"/>
              <w:snapToGrid w:val="0"/>
              <w:spacing w:line="360" w:lineRule="auto"/>
              <w:jc w:val="center"/>
              <w:rPr>
                <w:kern w:val="2"/>
                <w:szCs w:val="21"/>
              </w:rPr>
            </w:pPr>
          </w:p>
        </w:tc>
        <w:tc>
          <w:tcPr>
            <w:tcW w:w="1614" w:type="dxa"/>
            <w:vAlign w:val="center"/>
          </w:tcPr>
          <w:p>
            <w:pPr>
              <w:pStyle w:val="8"/>
              <w:snapToGrid w:val="0"/>
              <w:spacing w:line="360" w:lineRule="auto"/>
              <w:ind w:firstLine="0"/>
              <w:jc w:val="center"/>
              <w:rPr>
                <w:i/>
                <w:kern w:val="2"/>
                <w:szCs w:val="21"/>
              </w:rPr>
            </w:pPr>
          </w:p>
        </w:tc>
        <w:tc>
          <w:tcPr>
            <w:tcW w:w="1982" w:type="dxa"/>
            <w:vAlign w:val="center"/>
          </w:tcPr>
          <w:p>
            <w:pPr>
              <w:pStyle w:val="8"/>
              <w:snapToGrid w:val="0"/>
              <w:spacing w:line="360" w:lineRule="auto"/>
              <w:ind w:firstLine="0"/>
              <w:jc w:val="center"/>
              <w:rPr>
                <w:i/>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123" w:type="dxa"/>
            <w:vMerge w:val="continue"/>
            <w:tcBorders>
              <w:bottom w:val="thinThickSmallGap" w:color="auto" w:sz="24" w:space="0"/>
            </w:tcBorders>
            <w:vAlign w:val="center"/>
          </w:tcPr>
          <w:p>
            <w:pPr>
              <w:pStyle w:val="8"/>
              <w:snapToGrid w:val="0"/>
              <w:spacing w:line="360" w:lineRule="auto"/>
              <w:jc w:val="center"/>
              <w:rPr>
                <w:kern w:val="2"/>
                <w:szCs w:val="21"/>
              </w:rPr>
            </w:pPr>
          </w:p>
        </w:tc>
        <w:tc>
          <w:tcPr>
            <w:tcW w:w="1746" w:type="dxa"/>
            <w:tcBorders>
              <w:bottom w:val="thinThickSmallGap" w:color="auto" w:sz="24" w:space="0"/>
            </w:tcBorders>
            <w:vAlign w:val="center"/>
          </w:tcPr>
          <w:p>
            <w:pPr>
              <w:pStyle w:val="8"/>
              <w:snapToGrid w:val="0"/>
              <w:spacing w:line="360" w:lineRule="auto"/>
              <w:ind w:firstLine="0"/>
              <w:rPr>
                <w:kern w:val="2"/>
                <w:szCs w:val="21"/>
              </w:rPr>
            </w:pPr>
            <w:r>
              <w:rPr>
                <w:rFonts w:hint="eastAsia"/>
                <w:kern w:val="2"/>
                <w:szCs w:val="21"/>
              </w:rPr>
              <w:t>利润总额</w:t>
            </w:r>
          </w:p>
        </w:tc>
        <w:tc>
          <w:tcPr>
            <w:tcW w:w="2182" w:type="dxa"/>
            <w:tcBorders>
              <w:bottom w:val="thinThickSmallGap" w:color="auto" w:sz="24" w:space="0"/>
            </w:tcBorders>
            <w:vAlign w:val="center"/>
          </w:tcPr>
          <w:p>
            <w:pPr>
              <w:pStyle w:val="8"/>
              <w:snapToGrid w:val="0"/>
              <w:spacing w:line="360" w:lineRule="auto"/>
              <w:jc w:val="center"/>
              <w:rPr>
                <w:kern w:val="2"/>
                <w:szCs w:val="21"/>
              </w:rPr>
            </w:pPr>
          </w:p>
        </w:tc>
        <w:tc>
          <w:tcPr>
            <w:tcW w:w="1614" w:type="dxa"/>
            <w:tcBorders>
              <w:bottom w:val="thinThickSmallGap" w:color="auto" w:sz="24" w:space="0"/>
            </w:tcBorders>
            <w:vAlign w:val="center"/>
          </w:tcPr>
          <w:p>
            <w:pPr>
              <w:pStyle w:val="8"/>
              <w:snapToGrid w:val="0"/>
              <w:spacing w:line="360" w:lineRule="auto"/>
              <w:ind w:firstLine="0"/>
              <w:jc w:val="center"/>
              <w:rPr>
                <w:i/>
                <w:kern w:val="2"/>
                <w:szCs w:val="21"/>
              </w:rPr>
            </w:pPr>
          </w:p>
        </w:tc>
        <w:tc>
          <w:tcPr>
            <w:tcW w:w="1982" w:type="dxa"/>
            <w:tcBorders>
              <w:bottom w:val="thinThickSmallGap" w:color="auto" w:sz="24" w:space="0"/>
            </w:tcBorders>
            <w:vAlign w:val="center"/>
          </w:tcPr>
          <w:p>
            <w:pPr>
              <w:pStyle w:val="8"/>
              <w:snapToGrid w:val="0"/>
              <w:spacing w:line="360" w:lineRule="auto"/>
              <w:ind w:firstLine="0"/>
              <w:jc w:val="center"/>
              <w:rPr>
                <w:i/>
                <w:kern w:val="2"/>
                <w:szCs w:val="21"/>
              </w:rPr>
            </w:pPr>
          </w:p>
        </w:tc>
      </w:tr>
    </w:tbl>
    <w:p>
      <w:pPr>
        <w:pStyle w:val="8"/>
        <w:snapToGrid w:val="0"/>
        <w:spacing w:line="360" w:lineRule="auto"/>
        <w:ind w:firstLine="480" w:firstLineChars="200"/>
        <w:rPr>
          <w:sz w:val="24"/>
        </w:rPr>
      </w:pPr>
      <w:r>
        <w:rPr>
          <w:sz w:val="24"/>
        </w:rPr>
        <w:t>后附相应的证明材料。</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日期：       年     月    日</w:t>
      </w:r>
    </w:p>
    <w:p>
      <w:pPr>
        <w:pStyle w:val="6"/>
        <w:snapToGrid w:val="0"/>
        <w:spacing w:before="120" w:after="120" w:line="240" w:lineRule="auto"/>
        <w:jc w:val="center"/>
        <w:rPr>
          <w:sz w:val="28"/>
          <w:szCs w:val="28"/>
        </w:rPr>
      </w:pPr>
      <w:r>
        <w:rPr>
          <w:sz w:val="28"/>
          <w:szCs w:val="28"/>
        </w:rPr>
        <w:br w:type="page"/>
      </w:r>
      <w:bookmarkStart w:id="321" w:name="_Toc251249831"/>
      <w:bookmarkStart w:id="322" w:name="_Toc9716"/>
      <w:bookmarkStart w:id="323" w:name="_Toc28840"/>
      <w:bookmarkStart w:id="324" w:name="_Toc401000071"/>
      <w:r>
        <w:rPr>
          <w:rFonts w:hint="eastAsia"/>
          <w:sz w:val="28"/>
          <w:szCs w:val="28"/>
        </w:rPr>
        <w:t>九</w:t>
      </w:r>
      <w:r>
        <w:rPr>
          <w:sz w:val="28"/>
          <w:szCs w:val="28"/>
        </w:rPr>
        <w:t>、近</w:t>
      </w:r>
      <w:r>
        <w:rPr>
          <w:rFonts w:hint="eastAsia"/>
          <w:sz w:val="28"/>
          <w:szCs w:val="28"/>
        </w:rPr>
        <w:t>三</w:t>
      </w:r>
      <w:r>
        <w:rPr>
          <w:sz w:val="28"/>
          <w:szCs w:val="28"/>
        </w:rPr>
        <w:t>年（20</w:t>
      </w:r>
      <w:r>
        <w:rPr>
          <w:rFonts w:hint="eastAsia"/>
          <w:sz w:val="28"/>
          <w:szCs w:val="28"/>
          <w:lang w:val="en-US" w:eastAsia="zh-CN"/>
        </w:rPr>
        <w:t>20</w:t>
      </w:r>
      <w:r>
        <w:rPr>
          <w:sz w:val="28"/>
          <w:szCs w:val="28"/>
        </w:rPr>
        <w:t>年以来）同类项目经验列表</w:t>
      </w:r>
      <w:bookmarkEnd w:id="321"/>
      <w:bookmarkEnd w:id="322"/>
      <w:bookmarkEnd w:id="323"/>
      <w:bookmarkEnd w:id="324"/>
    </w:p>
    <w:p>
      <w:pPr>
        <w:snapToGrid w:val="0"/>
        <w:ind w:firstLine="480" w:firstLineChars="200"/>
        <w:rPr>
          <w:i/>
          <w:iCs/>
          <w:sz w:val="24"/>
          <w:u w:val="single"/>
        </w:rPr>
      </w:pPr>
    </w:p>
    <w:p>
      <w:pPr>
        <w:snapToGrid w:val="0"/>
        <w:spacing w:line="360" w:lineRule="auto"/>
        <w:ind w:firstLine="482" w:firstLineChars="200"/>
        <w:rPr>
          <w:b/>
          <w:i/>
          <w:iCs/>
          <w:sz w:val="24"/>
          <w:u w:val="single"/>
        </w:rPr>
      </w:pPr>
      <w:r>
        <w:rPr>
          <w:b/>
          <w:i/>
          <w:iCs/>
          <w:sz w:val="24"/>
          <w:u w:val="single"/>
        </w:rPr>
        <w:t>注：投标人应按照下列格式提供其公司承保以及理赔经验，投标人应保证其资料的准确性和真实性，如发现含有错误、虚假信息误导评标，一经查实，该投标人将自动丧失中标资格。</w:t>
      </w:r>
    </w:p>
    <w:p>
      <w:pPr>
        <w:snapToGrid w:val="0"/>
        <w:spacing w:line="360" w:lineRule="auto"/>
        <w:ind w:firstLine="482" w:firstLineChars="200"/>
        <w:rPr>
          <w:b/>
          <w:bCs/>
          <w:sz w:val="24"/>
        </w:rPr>
      </w:pPr>
      <w:r>
        <w:rPr>
          <w:b/>
          <w:bCs/>
          <w:sz w:val="24"/>
        </w:rPr>
        <w:t>1、同类项目承保经验</w:t>
      </w:r>
    </w:p>
    <w:p>
      <w:pPr>
        <w:snapToGrid w:val="0"/>
        <w:spacing w:line="360" w:lineRule="auto"/>
        <w:ind w:firstLine="480" w:firstLineChars="200"/>
        <w:rPr>
          <w:sz w:val="24"/>
        </w:rPr>
      </w:pPr>
      <w:r>
        <w:rPr>
          <w:sz w:val="24"/>
        </w:rPr>
        <w:t>（</w:t>
      </w:r>
      <w:r>
        <w:rPr>
          <w:b/>
          <w:i/>
          <w:iCs/>
          <w:sz w:val="24"/>
        </w:rPr>
        <w:t>要求：</w:t>
      </w:r>
      <w:r>
        <w:rPr>
          <w:i/>
          <w:iCs/>
          <w:sz w:val="24"/>
        </w:rPr>
        <w:t>仅指20</w:t>
      </w:r>
      <w:r>
        <w:rPr>
          <w:rFonts w:hint="eastAsia"/>
          <w:i/>
          <w:iCs/>
          <w:sz w:val="24"/>
          <w:lang w:val="en-US" w:eastAsia="zh-CN"/>
        </w:rPr>
        <w:t>20</w:t>
      </w:r>
      <w:r>
        <w:rPr>
          <w:i/>
          <w:iCs/>
          <w:sz w:val="24"/>
        </w:rPr>
        <w:t>年1月1日以后保险期限开始的</w:t>
      </w:r>
      <w:r>
        <w:rPr>
          <w:rFonts w:hint="eastAsia"/>
          <w:i/>
          <w:iCs/>
          <w:sz w:val="24"/>
        </w:rPr>
        <w:t>投保金额15亿（含）以上类似财产保险</w:t>
      </w:r>
      <w:r>
        <w:rPr>
          <w:i/>
          <w:iCs/>
          <w:sz w:val="24"/>
        </w:rPr>
        <w:t>项目；承保方式为独家、首席、共保等其中一项，并应列明份额；</w:t>
      </w:r>
      <w:r>
        <w:rPr>
          <w:sz w:val="24"/>
        </w:rPr>
        <w:t>）</w:t>
      </w:r>
    </w:p>
    <w:tbl>
      <w:tblPr>
        <w:tblStyle w:val="24"/>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35"/>
        <w:gridCol w:w="1337"/>
        <w:gridCol w:w="1749"/>
        <w:gridCol w:w="1807"/>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2" w:type="dxa"/>
            <w:shd w:val="clear" w:color="auto" w:fill="CCCCCC"/>
            <w:vAlign w:val="center"/>
          </w:tcPr>
          <w:p>
            <w:pPr>
              <w:snapToGrid w:val="0"/>
              <w:spacing w:line="360" w:lineRule="auto"/>
              <w:jc w:val="center"/>
              <w:rPr>
                <w:b/>
                <w:szCs w:val="21"/>
              </w:rPr>
            </w:pPr>
            <w:r>
              <w:rPr>
                <w:b/>
                <w:szCs w:val="21"/>
              </w:rPr>
              <w:t>序号</w:t>
            </w:r>
          </w:p>
        </w:tc>
        <w:tc>
          <w:tcPr>
            <w:tcW w:w="1835" w:type="dxa"/>
            <w:shd w:val="clear" w:color="auto" w:fill="CCCCCC"/>
            <w:vAlign w:val="center"/>
          </w:tcPr>
          <w:p>
            <w:pPr>
              <w:snapToGrid w:val="0"/>
              <w:spacing w:line="360" w:lineRule="auto"/>
              <w:jc w:val="center"/>
              <w:rPr>
                <w:b/>
                <w:szCs w:val="21"/>
              </w:rPr>
            </w:pPr>
            <w:r>
              <w:rPr>
                <w:b/>
                <w:szCs w:val="21"/>
              </w:rPr>
              <w:t>项目名称</w:t>
            </w:r>
          </w:p>
        </w:tc>
        <w:tc>
          <w:tcPr>
            <w:tcW w:w="1337" w:type="dxa"/>
            <w:shd w:val="clear" w:color="auto" w:fill="CCCCCC"/>
            <w:vAlign w:val="center"/>
          </w:tcPr>
          <w:p>
            <w:pPr>
              <w:snapToGrid w:val="0"/>
              <w:spacing w:line="360" w:lineRule="auto"/>
              <w:jc w:val="center"/>
              <w:rPr>
                <w:b/>
                <w:szCs w:val="21"/>
              </w:rPr>
            </w:pPr>
            <w:r>
              <w:rPr>
                <w:b/>
                <w:szCs w:val="21"/>
              </w:rPr>
              <w:t>保险金额</w:t>
            </w:r>
          </w:p>
        </w:tc>
        <w:tc>
          <w:tcPr>
            <w:tcW w:w="1749" w:type="dxa"/>
            <w:shd w:val="clear" w:color="auto" w:fill="CCCCCC"/>
            <w:vAlign w:val="center"/>
          </w:tcPr>
          <w:p>
            <w:pPr>
              <w:snapToGrid w:val="0"/>
              <w:spacing w:line="360" w:lineRule="auto"/>
              <w:jc w:val="center"/>
              <w:rPr>
                <w:b/>
                <w:szCs w:val="21"/>
              </w:rPr>
            </w:pPr>
            <w:r>
              <w:rPr>
                <w:b/>
                <w:szCs w:val="21"/>
              </w:rPr>
              <w:t>保险期间</w:t>
            </w:r>
          </w:p>
        </w:tc>
        <w:tc>
          <w:tcPr>
            <w:tcW w:w="1807" w:type="dxa"/>
            <w:shd w:val="clear" w:color="auto" w:fill="CCCCCC"/>
            <w:vAlign w:val="center"/>
          </w:tcPr>
          <w:p>
            <w:pPr>
              <w:snapToGrid w:val="0"/>
              <w:spacing w:line="360" w:lineRule="auto"/>
              <w:jc w:val="center"/>
              <w:rPr>
                <w:b/>
                <w:szCs w:val="21"/>
              </w:rPr>
            </w:pPr>
            <w:r>
              <w:rPr>
                <w:b/>
                <w:szCs w:val="21"/>
              </w:rPr>
              <w:t>承保方式及份额</w:t>
            </w:r>
          </w:p>
        </w:tc>
        <w:tc>
          <w:tcPr>
            <w:tcW w:w="1216" w:type="dxa"/>
            <w:shd w:val="clear" w:color="auto" w:fill="CCCCCC"/>
            <w:vAlign w:val="center"/>
          </w:tcPr>
          <w:p>
            <w:pPr>
              <w:snapToGrid w:val="0"/>
              <w:spacing w:line="360" w:lineRule="auto"/>
              <w:jc w:val="center"/>
              <w:rPr>
                <w:b/>
                <w:szCs w:val="21"/>
              </w:rPr>
            </w:pP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2" w:type="dxa"/>
          </w:tcPr>
          <w:p>
            <w:pPr>
              <w:snapToGrid w:val="0"/>
              <w:spacing w:line="360" w:lineRule="auto"/>
              <w:rPr>
                <w:szCs w:val="21"/>
              </w:rPr>
            </w:pPr>
          </w:p>
        </w:tc>
        <w:tc>
          <w:tcPr>
            <w:tcW w:w="1835" w:type="dxa"/>
          </w:tcPr>
          <w:p>
            <w:pPr>
              <w:snapToGrid w:val="0"/>
              <w:spacing w:line="360" w:lineRule="auto"/>
              <w:rPr>
                <w:szCs w:val="21"/>
              </w:rPr>
            </w:pPr>
          </w:p>
        </w:tc>
        <w:tc>
          <w:tcPr>
            <w:tcW w:w="1337" w:type="dxa"/>
          </w:tcPr>
          <w:p>
            <w:pPr>
              <w:snapToGrid w:val="0"/>
              <w:spacing w:line="360" w:lineRule="auto"/>
              <w:rPr>
                <w:szCs w:val="21"/>
              </w:rPr>
            </w:pPr>
          </w:p>
        </w:tc>
        <w:tc>
          <w:tcPr>
            <w:tcW w:w="1749" w:type="dxa"/>
          </w:tcPr>
          <w:p>
            <w:pPr>
              <w:snapToGrid w:val="0"/>
              <w:spacing w:line="360" w:lineRule="auto"/>
              <w:rPr>
                <w:szCs w:val="21"/>
              </w:rPr>
            </w:pPr>
          </w:p>
        </w:tc>
        <w:tc>
          <w:tcPr>
            <w:tcW w:w="1807" w:type="dxa"/>
          </w:tcPr>
          <w:p>
            <w:pPr>
              <w:snapToGrid w:val="0"/>
              <w:spacing w:line="360" w:lineRule="auto"/>
              <w:rPr>
                <w:szCs w:val="21"/>
              </w:rPr>
            </w:pPr>
          </w:p>
        </w:tc>
        <w:tc>
          <w:tcPr>
            <w:tcW w:w="1216" w:type="dxa"/>
          </w:tcPr>
          <w:p>
            <w:pPr>
              <w:snapToGrid w:val="0"/>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52" w:type="dxa"/>
          </w:tcPr>
          <w:p>
            <w:pPr>
              <w:snapToGrid w:val="0"/>
              <w:spacing w:line="360" w:lineRule="auto"/>
              <w:rPr>
                <w:szCs w:val="21"/>
              </w:rPr>
            </w:pPr>
          </w:p>
        </w:tc>
        <w:tc>
          <w:tcPr>
            <w:tcW w:w="1835" w:type="dxa"/>
          </w:tcPr>
          <w:p>
            <w:pPr>
              <w:snapToGrid w:val="0"/>
              <w:spacing w:line="360" w:lineRule="auto"/>
              <w:rPr>
                <w:szCs w:val="21"/>
              </w:rPr>
            </w:pPr>
          </w:p>
        </w:tc>
        <w:tc>
          <w:tcPr>
            <w:tcW w:w="1337" w:type="dxa"/>
          </w:tcPr>
          <w:p>
            <w:pPr>
              <w:snapToGrid w:val="0"/>
              <w:spacing w:line="360" w:lineRule="auto"/>
              <w:rPr>
                <w:szCs w:val="21"/>
              </w:rPr>
            </w:pPr>
          </w:p>
        </w:tc>
        <w:tc>
          <w:tcPr>
            <w:tcW w:w="1749" w:type="dxa"/>
          </w:tcPr>
          <w:p>
            <w:pPr>
              <w:snapToGrid w:val="0"/>
              <w:spacing w:line="360" w:lineRule="auto"/>
              <w:rPr>
                <w:szCs w:val="21"/>
              </w:rPr>
            </w:pPr>
          </w:p>
        </w:tc>
        <w:tc>
          <w:tcPr>
            <w:tcW w:w="1807" w:type="dxa"/>
          </w:tcPr>
          <w:p>
            <w:pPr>
              <w:snapToGrid w:val="0"/>
              <w:spacing w:line="360" w:lineRule="auto"/>
              <w:rPr>
                <w:szCs w:val="21"/>
              </w:rPr>
            </w:pPr>
          </w:p>
        </w:tc>
        <w:tc>
          <w:tcPr>
            <w:tcW w:w="1216" w:type="dxa"/>
          </w:tcPr>
          <w:p>
            <w:pPr>
              <w:snapToGrid w:val="0"/>
              <w:spacing w:line="360" w:lineRule="auto"/>
              <w:rPr>
                <w:szCs w:val="21"/>
              </w:rPr>
            </w:pPr>
          </w:p>
        </w:tc>
      </w:tr>
    </w:tbl>
    <w:p>
      <w:pPr>
        <w:snapToGrid w:val="0"/>
        <w:spacing w:line="360" w:lineRule="auto"/>
        <w:rPr>
          <w:sz w:val="24"/>
        </w:rPr>
      </w:pPr>
      <w:r>
        <w:rPr>
          <w:sz w:val="24"/>
        </w:rPr>
        <w:t>（应后附提供项目真实性证明材料，如保险单、保险协议等）</w:t>
      </w:r>
    </w:p>
    <w:p>
      <w:pPr>
        <w:snapToGrid w:val="0"/>
        <w:spacing w:line="360" w:lineRule="auto"/>
        <w:ind w:firstLine="482" w:firstLineChars="200"/>
        <w:rPr>
          <w:b/>
          <w:bCs/>
          <w:sz w:val="24"/>
        </w:rPr>
      </w:pPr>
      <w:r>
        <w:rPr>
          <w:b/>
          <w:bCs/>
          <w:sz w:val="24"/>
        </w:rPr>
        <w:t>2、同类项目理赔经验</w:t>
      </w:r>
    </w:p>
    <w:p>
      <w:pPr>
        <w:snapToGrid w:val="0"/>
        <w:spacing w:line="360" w:lineRule="auto"/>
        <w:rPr>
          <w:sz w:val="24"/>
        </w:rPr>
      </w:pPr>
      <w:r>
        <w:rPr>
          <w:sz w:val="24"/>
        </w:rPr>
        <w:t>（</w:t>
      </w:r>
      <w:r>
        <w:rPr>
          <w:i/>
          <w:iCs/>
          <w:sz w:val="24"/>
        </w:rPr>
        <w:t>要求：仅指20</w:t>
      </w:r>
      <w:r>
        <w:rPr>
          <w:rFonts w:hint="eastAsia"/>
          <w:i/>
          <w:iCs/>
          <w:sz w:val="24"/>
          <w:lang w:val="en-US" w:eastAsia="zh-CN"/>
        </w:rPr>
        <w:t>20</w:t>
      </w:r>
      <w:r>
        <w:rPr>
          <w:i/>
          <w:iCs/>
          <w:sz w:val="24"/>
        </w:rPr>
        <w:t>年1月1日以后保险期限开始的、发生赔案且赔付已完成的</w:t>
      </w:r>
      <w:r>
        <w:rPr>
          <w:rFonts w:hint="eastAsia"/>
          <w:i/>
          <w:iCs/>
          <w:sz w:val="24"/>
        </w:rPr>
        <w:t>类似财产保险</w:t>
      </w:r>
      <w:r>
        <w:rPr>
          <w:i/>
          <w:iCs/>
          <w:sz w:val="24"/>
        </w:rPr>
        <w:t>项目理赔经验；承保方式为独家、首席、共保等其中一项，并应列明赔款的总额/承担额。</w:t>
      </w:r>
      <w:r>
        <w:rPr>
          <w:sz w:val="24"/>
        </w:rPr>
        <w:t>）</w:t>
      </w:r>
    </w:p>
    <w:tbl>
      <w:tblPr>
        <w:tblStyle w:val="24"/>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49"/>
        <w:gridCol w:w="1314"/>
        <w:gridCol w:w="1807"/>
        <w:gridCol w:w="1150"/>
        <w:gridCol w:w="1643"/>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46" w:type="dxa"/>
            <w:shd w:val="clear" w:color="auto" w:fill="CCCCCC"/>
            <w:vAlign w:val="center"/>
          </w:tcPr>
          <w:p>
            <w:pPr>
              <w:snapToGrid w:val="0"/>
              <w:spacing w:line="360" w:lineRule="auto"/>
              <w:jc w:val="center"/>
              <w:rPr>
                <w:b/>
                <w:szCs w:val="21"/>
              </w:rPr>
            </w:pPr>
            <w:r>
              <w:rPr>
                <w:b/>
                <w:szCs w:val="21"/>
              </w:rPr>
              <w:t>序号</w:t>
            </w:r>
          </w:p>
        </w:tc>
        <w:tc>
          <w:tcPr>
            <w:tcW w:w="1249" w:type="dxa"/>
            <w:shd w:val="clear" w:color="auto" w:fill="CCCCCC"/>
            <w:vAlign w:val="center"/>
          </w:tcPr>
          <w:p>
            <w:pPr>
              <w:snapToGrid w:val="0"/>
              <w:jc w:val="center"/>
              <w:rPr>
                <w:b/>
                <w:szCs w:val="21"/>
              </w:rPr>
            </w:pPr>
            <w:r>
              <w:rPr>
                <w:b/>
                <w:szCs w:val="21"/>
              </w:rPr>
              <w:t>项目名称</w:t>
            </w:r>
          </w:p>
        </w:tc>
        <w:tc>
          <w:tcPr>
            <w:tcW w:w="1314" w:type="dxa"/>
            <w:shd w:val="clear" w:color="auto" w:fill="CCCCCC"/>
            <w:vAlign w:val="center"/>
          </w:tcPr>
          <w:p>
            <w:pPr>
              <w:snapToGrid w:val="0"/>
              <w:jc w:val="center"/>
              <w:rPr>
                <w:b/>
                <w:szCs w:val="21"/>
              </w:rPr>
            </w:pPr>
            <w:r>
              <w:rPr>
                <w:b/>
                <w:szCs w:val="21"/>
              </w:rPr>
              <w:t>承保方式与份额</w:t>
            </w:r>
          </w:p>
        </w:tc>
        <w:tc>
          <w:tcPr>
            <w:tcW w:w="1807" w:type="dxa"/>
            <w:shd w:val="clear" w:color="auto" w:fill="CCCCCC"/>
            <w:vAlign w:val="center"/>
          </w:tcPr>
          <w:p>
            <w:pPr>
              <w:snapToGrid w:val="0"/>
              <w:jc w:val="center"/>
              <w:rPr>
                <w:b/>
                <w:szCs w:val="21"/>
              </w:rPr>
            </w:pPr>
            <w:r>
              <w:rPr>
                <w:b/>
                <w:szCs w:val="21"/>
              </w:rPr>
              <w:t>损失发生时间</w:t>
            </w:r>
          </w:p>
          <w:p>
            <w:pPr>
              <w:snapToGrid w:val="0"/>
              <w:jc w:val="center"/>
              <w:rPr>
                <w:b/>
                <w:szCs w:val="21"/>
              </w:rPr>
            </w:pPr>
            <w:r>
              <w:rPr>
                <w:b/>
                <w:szCs w:val="21"/>
              </w:rPr>
              <w:t>（**年**月）</w:t>
            </w:r>
          </w:p>
        </w:tc>
        <w:tc>
          <w:tcPr>
            <w:tcW w:w="1150" w:type="dxa"/>
            <w:shd w:val="clear" w:color="auto" w:fill="CCCCCC"/>
            <w:vAlign w:val="center"/>
          </w:tcPr>
          <w:p>
            <w:pPr>
              <w:snapToGrid w:val="0"/>
              <w:jc w:val="center"/>
              <w:rPr>
                <w:b/>
                <w:szCs w:val="21"/>
              </w:rPr>
            </w:pPr>
            <w:r>
              <w:rPr>
                <w:b/>
                <w:szCs w:val="21"/>
              </w:rPr>
              <w:t>损失原因</w:t>
            </w:r>
          </w:p>
        </w:tc>
        <w:tc>
          <w:tcPr>
            <w:tcW w:w="1643" w:type="dxa"/>
            <w:shd w:val="clear" w:color="auto" w:fill="CCCCCC"/>
            <w:vAlign w:val="center"/>
          </w:tcPr>
          <w:p>
            <w:pPr>
              <w:snapToGrid w:val="0"/>
              <w:jc w:val="center"/>
              <w:rPr>
                <w:b/>
                <w:szCs w:val="21"/>
              </w:rPr>
            </w:pPr>
            <w:r>
              <w:rPr>
                <w:b/>
                <w:szCs w:val="21"/>
              </w:rPr>
              <w:t>赔款金额</w:t>
            </w:r>
          </w:p>
          <w:p>
            <w:pPr>
              <w:snapToGrid w:val="0"/>
              <w:jc w:val="center"/>
              <w:rPr>
                <w:b/>
                <w:szCs w:val="21"/>
              </w:rPr>
            </w:pPr>
            <w:r>
              <w:rPr>
                <w:b/>
                <w:szCs w:val="21"/>
              </w:rPr>
              <w:t>(总额/承担额)</w:t>
            </w:r>
          </w:p>
        </w:tc>
        <w:tc>
          <w:tcPr>
            <w:tcW w:w="788" w:type="dxa"/>
            <w:shd w:val="clear" w:color="auto" w:fill="CCCCCC"/>
            <w:vAlign w:val="center"/>
          </w:tcPr>
          <w:p>
            <w:pPr>
              <w:snapToGrid w:val="0"/>
              <w:jc w:val="center"/>
              <w:rPr>
                <w:b/>
                <w:szCs w:val="21"/>
              </w:rPr>
            </w:pP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6" w:type="dxa"/>
          </w:tcPr>
          <w:p>
            <w:pPr>
              <w:snapToGrid w:val="0"/>
              <w:spacing w:line="360" w:lineRule="auto"/>
              <w:rPr>
                <w:szCs w:val="21"/>
              </w:rPr>
            </w:pPr>
          </w:p>
        </w:tc>
        <w:tc>
          <w:tcPr>
            <w:tcW w:w="1249" w:type="dxa"/>
          </w:tcPr>
          <w:p>
            <w:pPr>
              <w:snapToGrid w:val="0"/>
              <w:spacing w:line="360" w:lineRule="auto"/>
              <w:rPr>
                <w:szCs w:val="21"/>
              </w:rPr>
            </w:pPr>
          </w:p>
        </w:tc>
        <w:tc>
          <w:tcPr>
            <w:tcW w:w="1314" w:type="dxa"/>
          </w:tcPr>
          <w:p>
            <w:pPr>
              <w:snapToGrid w:val="0"/>
              <w:spacing w:line="360" w:lineRule="auto"/>
              <w:rPr>
                <w:szCs w:val="21"/>
              </w:rPr>
            </w:pPr>
          </w:p>
        </w:tc>
        <w:tc>
          <w:tcPr>
            <w:tcW w:w="1807" w:type="dxa"/>
          </w:tcPr>
          <w:p>
            <w:pPr>
              <w:snapToGrid w:val="0"/>
              <w:spacing w:line="360" w:lineRule="auto"/>
              <w:rPr>
                <w:szCs w:val="21"/>
              </w:rPr>
            </w:pPr>
          </w:p>
        </w:tc>
        <w:tc>
          <w:tcPr>
            <w:tcW w:w="1150" w:type="dxa"/>
          </w:tcPr>
          <w:p>
            <w:pPr>
              <w:snapToGrid w:val="0"/>
              <w:spacing w:line="360" w:lineRule="auto"/>
              <w:rPr>
                <w:szCs w:val="21"/>
              </w:rPr>
            </w:pPr>
          </w:p>
        </w:tc>
        <w:tc>
          <w:tcPr>
            <w:tcW w:w="1643" w:type="dxa"/>
          </w:tcPr>
          <w:p>
            <w:pPr>
              <w:snapToGrid w:val="0"/>
              <w:spacing w:line="360" w:lineRule="auto"/>
              <w:rPr>
                <w:szCs w:val="21"/>
              </w:rPr>
            </w:pPr>
          </w:p>
        </w:tc>
        <w:tc>
          <w:tcPr>
            <w:tcW w:w="788" w:type="dxa"/>
          </w:tcPr>
          <w:p>
            <w:pPr>
              <w:snapToGrid w:val="0"/>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46" w:type="dxa"/>
          </w:tcPr>
          <w:p>
            <w:pPr>
              <w:snapToGrid w:val="0"/>
              <w:spacing w:line="360" w:lineRule="auto"/>
              <w:rPr>
                <w:szCs w:val="21"/>
              </w:rPr>
            </w:pPr>
          </w:p>
        </w:tc>
        <w:tc>
          <w:tcPr>
            <w:tcW w:w="1249" w:type="dxa"/>
          </w:tcPr>
          <w:p>
            <w:pPr>
              <w:snapToGrid w:val="0"/>
              <w:spacing w:line="360" w:lineRule="auto"/>
              <w:rPr>
                <w:szCs w:val="21"/>
              </w:rPr>
            </w:pPr>
          </w:p>
        </w:tc>
        <w:tc>
          <w:tcPr>
            <w:tcW w:w="1314" w:type="dxa"/>
          </w:tcPr>
          <w:p>
            <w:pPr>
              <w:snapToGrid w:val="0"/>
              <w:spacing w:line="360" w:lineRule="auto"/>
              <w:rPr>
                <w:szCs w:val="21"/>
              </w:rPr>
            </w:pPr>
          </w:p>
        </w:tc>
        <w:tc>
          <w:tcPr>
            <w:tcW w:w="1807" w:type="dxa"/>
          </w:tcPr>
          <w:p>
            <w:pPr>
              <w:snapToGrid w:val="0"/>
              <w:spacing w:line="360" w:lineRule="auto"/>
              <w:rPr>
                <w:szCs w:val="21"/>
              </w:rPr>
            </w:pPr>
          </w:p>
        </w:tc>
        <w:tc>
          <w:tcPr>
            <w:tcW w:w="1150" w:type="dxa"/>
          </w:tcPr>
          <w:p>
            <w:pPr>
              <w:snapToGrid w:val="0"/>
              <w:spacing w:line="360" w:lineRule="auto"/>
              <w:rPr>
                <w:szCs w:val="21"/>
              </w:rPr>
            </w:pPr>
          </w:p>
        </w:tc>
        <w:tc>
          <w:tcPr>
            <w:tcW w:w="1643" w:type="dxa"/>
          </w:tcPr>
          <w:p>
            <w:pPr>
              <w:snapToGrid w:val="0"/>
              <w:spacing w:line="360" w:lineRule="auto"/>
              <w:rPr>
                <w:szCs w:val="21"/>
              </w:rPr>
            </w:pPr>
          </w:p>
        </w:tc>
        <w:tc>
          <w:tcPr>
            <w:tcW w:w="788" w:type="dxa"/>
          </w:tcPr>
          <w:p>
            <w:pPr>
              <w:snapToGrid w:val="0"/>
              <w:spacing w:line="360" w:lineRule="auto"/>
              <w:rPr>
                <w:szCs w:val="21"/>
              </w:rPr>
            </w:pPr>
          </w:p>
        </w:tc>
      </w:tr>
    </w:tbl>
    <w:p>
      <w:pPr>
        <w:pStyle w:val="8"/>
        <w:snapToGrid w:val="0"/>
        <w:spacing w:line="360" w:lineRule="auto"/>
        <w:ind w:firstLine="0"/>
        <w:rPr>
          <w:sz w:val="24"/>
        </w:rPr>
      </w:pPr>
      <w:r>
        <w:rPr>
          <w:sz w:val="24"/>
        </w:rPr>
        <w:t>（应后附提供项目真实性证明材料，如赔款理算书、赔款协议\确认、赔款发票等）</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日期：       年     月    日</w:t>
      </w:r>
    </w:p>
    <w:p>
      <w:pPr>
        <w:pStyle w:val="6"/>
        <w:snapToGrid w:val="0"/>
        <w:spacing w:before="120" w:after="120" w:line="240" w:lineRule="auto"/>
        <w:jc w:val="center"/>
        <w:rPr>
          <w:sz w:val="28"/>
          <w:szCs w:val="28"/>
        </w:rPr>
      </w:pPr>
      <w:r>
        <w:rPr>
          <w:sz w:val="28"/>
        </w:rPr>
        <w:br w:type="page"/>
      </w:r>
      <w:bookmarkStart w:id="325" w:name="_Toc17995"/>
      <w:bookmarkStart w:id="326" w:name="_Toc18611"/>
      <w:bookmarkStart w:id="327" w:name="_Toc401000072"/>
      <w:r>
        <w:rPr>
          <w:sz w:val="28"/>
          <w:szCs w:val="28"/>
        </w:rPr>
        <w:t>十、投标人资质证明文件</w:t>
      </w:r>
      <w:bookmarkEnd w:id="325"/>
      <w:bookmarkEnd w:id="326"/>
      <w:bookmarkEnd w:id="327"/>
    </w:p>
    <w:p>
      <w:pPr>
        <w:pStyle w:val="8"/>
        <w:snapToGrid w:val="0"/>
        <w:spacing w:line="240" w:lineRule="auto"/>
        <w:ind w:firstLine="482" w:firstLineChars="200"/>
        <w:rPr>
          <w:b/>
          <w:sz w:val="24"/>
        </w:rPr>
      </w:pPr>
    </w:p>
    <w:p>
      <w:pPr>
        <w:pStyle w:val="8"/>
        <w:snapToGrid w:val="0"/>
        <w:spacing w:line="240" w:lineRule="auto"/>
        <w:ind w:firstLine="482" w:firstLineChars="200"/>
        <w:rPr>
          <w:b/>
          <w:sz w:val="24"/>
        </w:rPr>
      </w:pPr>
      <w:r>
        <w:rPr>
          <w:b/>
          <w:sz w:val="24"/>
        </w:rPr>
        <w:t>（注：以下资质性材料均需加盖公章）</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本部分内容包括： </w:t>
      </w:r>
    </w:p>
    <w:p>
      <w:pPr>
        <w:pStyle w:val="8"/>
        <w:snapToGrid w:val="0"/>
        <w:spacing w:line="360" w:lineRule="auto"/>
        <w:ind w:firstLine="480" w:firstLineChars="200"/>
        <w:rPr>
          <w:sz w:val="24"/>
        </w:rPr>
      </w:pPr>
    </w:p>
    <w:p>
      <w:pPr>
        <w:pStyle w:val="8"/>
        <w:numPr>
          <w:ilvl w:val="0"/>
          <w:numId w:val="7"/>
        </w:numPr>
        <w:snapToGrid w:val="0"/>
        <w:spacing w:line="360" w:lineRule="auto"/>
        <w:rPr>
          <w:sz w:val="24"/>
        </w:rPr>
      </w:pPr>
      <w:r>
        <w:rPr>
          <w:sz w:val="24"/>
        </w:rPr>
        <w:t>投标人总公司的保险公司法人许可证和营业执照复印件</w:t>
      </w:r>
    </w:p>
    <w:p>
      <w:pPr>
        <w:pStyle w:val="8"/>
        <w:numPr>
          <w:ilvl w:val="0"/>
          <w:numId w:val="7"/>
        </w:numPr>
        <w:snapToGrid w:val="0"/>
        <w:spacing w:line="360" w:lineRule="auto"/>
        <w:rPr>
          <w:sz w:val="24"/>
        </w:rPr>
      </w:pPr>
      <w:r>
        <w:rPr>
          <w:sz w:val="24"/>
        </w:rPr>
        <w:t>投标人的保险业务许可证和营业执照副本复印件</w:t>
      </w:r>
    </w:p>
    <w:p>
      <w:pPr>
        <w:pStyle w:val="8"/>
        <w:numPr>
          <w:ilvl w:val="0"/>
          <w:numId w:val="7"/>
        </w:numPr>
        <w:snapToGrid w:val="0"/>
        <w:spacing w:line="360" w:lineRule="auto"/>
        <w:rPr>
          <w:sz w:val="24"/>
        </w:rPr>
      </w:pPr>
      <w:r>
        <w:rPr>
          <w:sz w:val="24"/>
        </w:rPr>
        <w:t>20</w:t>
      </w:r>
      <w:r>
        <w:rPr>
          <w:rFonts w:hint="eastAsia"/>
          <w:sz w:val="24"/>
        </w:rPr>
        <w:t>2</w:t>
      </w:r>
      <w:r>
        <w:rPr>
          <w:rFonts w:hint="eastAsia"/>
          <w:sz w:val="24"/>
          <w:lang w:val="en-US" w:eastAsia="zh-CN"/>
        </w:rPr>
        <w:t>2</w:t>
      </w:r>
      <w:r>
        <w:rPr>
          <w:sz w:val="24"/>
        </w:rPr>
        <w:t>年投标人总公司经审计的财务报表（资产负债表、现金流量表、利润表）</w:t>
      </w:r>
    </w:p>
    <w:p>
      <w:pPr>
        <w:pStyle w:val="8"/>
        <w:numPr>
          <w:ilvl w:val="0"/>
          <w:numId w:val="7"/>
        </w:numPr>
        <w:snapToGrid w:val="0"/>
        <w:spacing w:line="360" w:lineRule="auto"/>
        <w:rPr>
          <w:sz w:val="24"/>
        </w:rPr>
      </w:pPr>
      <w:r>
        <w:rPr>
          <w:sz w:val="24"/>
        </w:rPr>
        <w:t>投标人最新的公司评级证明材料（如有，指由知名评级机构给予评级的证明）</w:t>
      </w:r>
    </w:p>
    <w:p>
      <w:pPr>
        <w:pStyle w:val="8"/>
        <w:snapToGrid w:val="0"/>
        <w:spacing w:line="360" w:lineRule="auto"/>
        <w:ind w:firstLine="897" w:firstLineChars="374"/>
        <w:rPr>
          <w:sz w:val="24"/>
        </w:rPr>
      </w:pPr>
    </w:p>
    <w:p>
      <w:pPr>
        <w:pStyle w:val="6"/>
        <w:snapToGrid w:val="0"/>
        <w:spacing w:before="120" w:after="120" w:line="240" w:lineRule="auto"/>
        <w:jc w:val="center"/>
        <w:rPr>
          <w:sz w:val="24"/>
          <w:szCs w:val="24"/>
        </w:rPr>
      </w:pPr>
    </w:p>
    <w:p>
      <w:pPr>
        <w:pStyle w:val="6"/>
        <w:snapToGrid w:val="0"/>
        <w:spacing w:before="120" w:after="120" w:line="240" w:lineRule="auto"/>
        <w:jc w:val="center"/>
        <w:rPr>
          <w:sz w:val="28"/>
          <w:szCs w:val="28"/>
        </w:rPr>
      </w:pPr>
      <w:r>
        <w:rPr>
          <w:sz w:val="24"/>
          <w:szCs w:val="24"/>
        </w:rPr>
        <w:br w:type="page"/>
      </w:r>
      <w:bookmarkStart w:id="328" w:name="_Toc401000073"/>
      <w:bookmarkStart w:id="329" w:name="_Toc26062"/>
      <w:bookmarkStart w:id="330" w:name="_Toc21246"/>
      <w:r>
        <w:rPr>
          <w:sz w:val="28"/>
          <w:szCs w:val="28"/>
        </w:rPr>
        <w:t>十</w:t>
      </w:r>
      <w:r>
        <w:rPr>
          <w:rFonts w:hint="eastAsia"/>
          <w:sz w:val="28"/>
          <w:szCs w:val="28"/>
        </w:rPr>
        <w:t>一</w:t>
      </w:r>
      <w:r>
        <w:rPr>
          <w:sz w:val="28"/>
          <w:szCs w:val="28"/>
        </w:rPr>
        <w:t>、其他有必要提供的资料</w:t>
      </w:r>
      <w:bookmarkEnd w:id="328"/>
      <w:bookmarkEnd w:id="329"/>
      <w:bookmarkEnd w:id="330"/>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本部分内容包括：</w:t>
      </w:r>
    </w:p>
    <w:p>
      <w:pPr>
        <w:pStyle w:val="8"/>
        <w:snapToGrid w:val="0"/>
        <w:spacing w:line="360" w:lineRule="auto"/>
        <w:ind w:firstLine="480" w:firstLineChars="200"/>
        <w:rPr>
          <w:sz w:val="24"/>
        </w:rPr>
      </w:pPr>
    </w:p>
    <w:p>
      <w:pPr>
        <w:pStyle w:val="8"/>
        <w:numPr>
          <w:ilvl w:val="0"/>
          <w:numId w:val="8"/>
        </w:numPr>
        <w:snapToGrid w:val="0"/>
        <w:spacing w:line="360" w:lineRule="auto"/>
        <w:rPr>
          <w:sz w:val="24"/>
        </w:rPr>
      </w:pPr>
      <w:r>
        <w:rPr>
          <w:sz w:val="24"/>
        </w:rPr>
        <w:t>本项目所需投标人提供的保险条款（包括保险条款的差异条款等）</w:t>
      </w:r>
    </w:p>
    <w:p>
      <w:pPr>
        <w:pStyle w:val="8"/>
        <w:numPr>
          <w:ilvl w:val="0"/>
          <w:numId w:val="8"/>
        </w:numPr>
        <w:snapToGrid w:val="0"/>
        <w:spacing w:line="360" w:lineRule="auto"/>
        <w:rPr>
          <w:sz w:val="24"/>
        </w:rPr>
      </w:pPr>
      <w:r>
        <w:rPr>
          <w:sz w:val="24"/>
        </w:rPr>
        <w:t>投标人认为有必要提供的其他资料</w:t>
      </w:r>
    </w:p>
    <w:p>
      <w:pPr>
        <w:pStyle w:val="6"/>
        <w:snapToGrid w:val="0"/>
        <w:spacing w:before="120" w:after="120" w:line="240" w:lineRule="auto"/>
        <w:jc w:val="center"/>
        <w:rPr>
          <w:sz w:val="24"/>
          <w:szCs w:val="24"/>
        </w:rPr>
      </w:pPr>
      <w:r>
        <w:t xml:space="preserve"> </w:t>
      </w:r>
    </w:p>
    <w:p>
      <w:pPr>
        <w:snapToGrid w:val="0"/>
        <w:spacing w:line="360" w:lineRule="auto"/>
        <w:rPr>
          <w:sz w:val="24"/>
        </w:rPr>
      </w:pPr>
      <w:r>
        <w:br w:type="page"/>
      </w:r>
    </w:p>
    <w:p>
      <w:pPr>
        <w:pStyle w:val="5"/>
        <w:snapToGrid w:val="0"/>
        <w:spacing w:before="120" w:after="120" w:line="240" w:lineRule="auto"/>
        <w:jc w:val="center"/>
        <w:rPr>
          <w:rFonts w:ascii="Times New Roman" w:hAnsi="Times New Roman" w:eastAsia="宋体"/>
          <w:snapToGrid w:val="0"/>
        </w:rPr>
      </w:pPr>
      <w:bookmarkStart w:id="331" w:name="_Toc401000074"/>
      <w:bookmarkStart w:id="332" w:name="_Toc20658"/>
      <w:bookmarkStart w:id="333" w:name="_Toc17791"/>
      <w:r>
        <w:rPr>
          <w:rFonts w:ascii="Times New Roman" w:hAnsi="Times New Roman" w:eastAsia="宋体"/>
          <w:snapToGrid w:val="0"/>
        </w:rPr>
        <w:t>第五部分 评标办法</w:t>
      </w:r>
      <w:bookmarkEnd w:id="331"/>
      <w:bookmarkEnd w:id="332"/>
      <w:bookmarkEnd w:id="333"/>
    </w:p>
    <w:p>
      <w:pPr>
        <w:spacing w:line="360" w:lineRule="auto"/>
        <w:ind w:firstLine="480" w:firstLineChars="200"/>
        <w:rPr>
          <w:sz w:val="24"/>
        </w:rPr>
      </w:pPr>
    </w:p>
    <w:p>
      <w:pPr>
        <w:spacing w:line="360" w:lineRule="auto"/>
        <w:ind w:firstLine="480" w:firstLineChars="200"/>
        <w:rPr>
          <w:sz w:val="24"/>
        </w:rPr>
      </w:pPr>
      <w:r>
        <w:rPr>
          <w:sz w:val="24"/>
        </w:rPr>
        <w:t>为保证</w:t>
      </w:r>
      <w:r>
        <w:rPr>
          <w:rFonts w:hint="eastAsia"/>
          <w:sz w:val="24"/>
        </w:rPr>
        <w:t>“江苏大生集团有限公司</w:t>
      </w:r>
      <w:r>
        <w:rPr>
          <w:rFonts w:hint="eastAsia"/>
          <w:sz w:val="24"/>
          <w:lang w:val="en-US" w:eastAsia="zh-CN"/>
        </w:rPr>
        <w:t>部分子公司</w:t>
      </w:r>
      <w:r>
        <w:rPr>
          <w:rFonts w:hint="eastAsia" w:ascii="宋体" w:hAnsi="宋体" w:cs="宋体"/>
          <w:sz w:val="24"/>
          <w:lang w:val="en-US" w:eastAsia="zh-CN"/>
        </w:rPr>
        <w:t>（合肥、滨州、聊城）</w:t>
      </w:r>
      <w:r>
        <w:rPr>
          <w:rFonts w:hint="eastAsia"/>
          <w:sz w:val="24"/>
          <w:lang w:val="en-US" w:eastAsia="zh-CN"/>
        </w:rPr>
        <w:t>2023年度</w:t>
      </w:r>
      <w:r>
        <w:rPr>
          <w:rFonts w:hint="eastAsia"/>
          <w:sz w:val="24"/>
        </w:rPr>
        <w:t>财产保险项目”</w:t>
      </w:r>
      <w:r>
        <w:rPr>
          <w:sz w:val="24"/>
        </w:rPr>
        <w:t>（下称“本项目”）招标工作严格遵循公开、公正、公平的原则，维护招标人和各投标人的合法权益，规范评标活动，实现以合理保费支出采购优质保险服务的目的，根据《中华人民共和国招标投标法》等相关法律法规，制定本次招标工作的评标办法。</w:t>
      </w:r>
    </w:p>
    <w:p>
      <w:pPr>
        <w:pStyle w:val="6"/>
        <w:snapToGrid w:val="0"/>
        <w:spacing w:before="120" w:after="120" w:line="240" w:lineRule="auto"/>
        <w:rPr>
          <w:sz w:val="24"/>
          <w:szCs w:val="24"/>
        </w:rPr>
      </w:pPr>
      <w:bookmarkStart w:id="334" w:name="_Toc19796"/>
      <w:bookmarkStart w:id="335" w:name="_Toc25950"/>
      <w:bookmarkStart w:id="336" w:name="_Toc401000075"/>
      <w:r>
        <w:rPr>
          <w:sz w:val="24"/>
          <w:szCs w:val="24"/>
        </w:rPr>
        <w:t>一、评标原则</w:t>
      </w:r>
      <w:bookmarkEnd w:id="334"/>
      <w:bookmarkEnd w:id="335"/>
      <w:bookmarkEnd w:id="336"/>
    </w:p>
    <w:p>
      <w:pPr>
        <w:spacing w:line="360" w:lineRule="auto"/>
        <w:ind w:firstLine="480" w:firstLineChars="200"/>
        <w:rPr>
          <w:sz w:val="24"/>
        </w:rPr>
      </w:pPr>
      <w:r>
        <w:rPr>
          <w:sz w:val="24"/>
        </w:rPr>
        <w:t>1.1坚持公正、公平、科学、择优的原则。</w:t>
      </w:r>
    </w:p>
    <w:p>
      <w:pPr>
        <w:spacing w:line="360" w:lineRule="auto"/>
        <w:ind w:firstLine="480" w:firstLineChars="200"/>
        <w:rPr>
          <w:sz w:val="24"/>
        </w:rPr>
      </w:pPr>
      <w:r>
        <w:rPr>
          <w:sz w:val="24"/>
        </w:rPr>
        <w:t>1.2维护招投标双方的合法权益。</w:t>
      </w:r>
    </w:p>
    <w:p>
      <w:pPr>
        <w:spacing w:line="360" w:lineRule="auto"/>
        <w:ind w:firstLine="480" w:firstLineChars="200"/>
        <w:rPr>
          <w:sz w:val="24"/>
        </w:rPr>
      </w:pPr>
      <w:r>
        <w:rPr>
          <w:sz w:val="24"/>
        </w:rPr>
        <w:t>1.3评标和定标活动必须严格遵守相关法律法规要求以及招标文件规定的程序和条件。</w:t>
      </w:r>
    </w:p>
    <w:p>
      <w:pPr>
        <w:spacing w:line="360" w:lineRule="auto"/>
        <w:ind w:firstLine="480" w:firstLineChars="200"/>
        <w:rPr>
          <w:sz w:val="24"/>
        </w:rPr>
      </w:pPr>
      <w:r>
        <w:rPr>
          <w:sz w:val="24"/>
        </w:rPr>
        <w:t>1.4评标采用综合评分法：对各投标人的投标报价、保险条件、保险服务、项目经验、承保能力、评委意见等评标因素给予评分，并根据综合评定结果确定预中标人名单。</w:t>
      </w:r>
    </w:p>
    <w:p>
      <w:pPr>
        <w:spacing w:line="360" w:lineRule="auto"/>
        <w:ind w:firstLine="480" w:firstLineChars="200"/>
        <w:rPr>
          <w:sz w:val="24"/>
        </w:rPr>
      </w:pPr>
      <w:r>
        <w:rPr>
          <w:sz w:val="24"/>
        </w:rPr>
        <w:t>1.5经过保险谈判，选择最能满足本项目保障要求、具有良好的合同执行能力和保险服务能力、投标报价合理的预中标人为最终中标人。</w:t>
      </w:r>
    </w:p>
    <w:p>
      <w:pPr>
        <w:spacing w:line="360" w:lineRule="auto"/>
        <w:ind w:firstLine="480" w:firstLineChars="200"/>
        <w:rPr>
          <w:sz w:val="24"/>
        </w:rPr>
      </w:pPr>
    </w:p>
    <w:p>
      <w:pPr>
        <w:pStyle w:val="6"/>
        <w:snapToGrid w:val="0"/>
        <w:spacing w:before="120" w:after="120" w:line="240" w:lineRule="auto"/>
        <w:rPr>
          <w:sz w:val="24"/>
          <w:szCs w:val="24"/>
        </w:rPr>
      </w:pPr>
      <w:bookmarkStart w:id="337" w:name="_Toc73073578"/>
      <w:bookmarkStart w:id="338" w:name="_Toc21100"/>
      <w:bookmarkStart w:id="339" w:name="_Toc7495"/>
      <w:bookmarkStart w:id="340" w:name="_Toc401000076"/>
      <w:r>
        <w:rPr>
          <w:sz w:val="24"/>
          <w:szCs w:val="24"/>
        </w:rPr>
        <w:t>二、评标组织</w:t>
      </w:r>
      <w:bookmarkEnd w:id="337"/>
      <w:r>
        <w:rPr>
          <w:sz w:val="24"/>
          <w:szCs w:val="24"/>
        </w:rPr>
        <w:t>机构及职责</w:t>
      </w:r>
      <w:bookmarkEnd w:id="338"/>
      <w:bookmarkEnd w:id="339"/>
      <w:bookmarkEnd w:id="340"/>
    </w:p>
    <w:p>
      <w:pPr>
        <w:spacing w:line="360" w:lineRule="auto"/>
        <w:ind w:firstLine="480" w:firstLineChars="200"/>
        <w:rPr>
          <w:sz w:val="24"/>
        </w:rPr>
      </w:pPr>
      <w:r>
        <w:rPr>
          <w:sz w:val="24"/>
        </w:rPr>
        <w:t>2.1评标委员会（评标小组）由招标人组织相关人员和专家组成。</w:t>
      </w:r>
    </w:p>
    <w:p>
      <w:pPr>
        <w:spacing w:line="360" w:lineRule="auto"/>
        <w:ind w:firstLine="480" w:firstLineChars="200"/>
        <w:rPr>
          <w:sz w:val="24"/>
        </w:rPr>
      </w:pPr>
      <w:r>
        <w:rPr>
          <w:sz w:val="24"/>
        </w:rPr>
        <w:t>2.2评标委员会下设清标工作小组，负责评标活动过程中的事务性工作，清标工作小组由招标人、经纪公司有关人员组成。</w:t>
      </w:r>
    </w:p>
    <w:p>
      <w:pPr>
        <w:spacing w:line="360" w:lineRule="auto"/>
        <w:ind w:firstLine="480" w:firstLineChars="200"/>
        <w:rPr>
          <w:sz w:val="24"/>
        </w:rPr>
      </w:pPr>
      <w:r>
        <w:rPr>
          <w:sz w:val="24"/>
        </w:rPr>
        <w:t>2.3评标委员会负责投标文件的初审，投标报价的算术性校核，对投标文件中的保险条件、保险服务和理赔服务、投标人综合实力等进行汇总和综合分析，编制评标报告。</w:t>
      </w:r>
    </w:p>
    <w:p>
      <w:pPr>
        <w:spacing w:line="360" w:lineRule="auto"/>
        <w:ind w:firstLine="480" w:firstLineChars="200"/>
        <w:rPr>
          <w:sz w:val="24"/>
        </w:rPr>
      </w:pPr>
      <w:r>
        <w:rPr>
          <w:sz w:val="24"/>
        </w:rPr>
        <w:t>2.4如果评标委员会成员对评定事项存在不同意见，以评标委员会多数成员的意见为准。</w:t>
      </w:r>
    </w:p>
    <w:p>
      <w:pPr>
        <w:spacing w:line="360" w:lineRule="auto"/>
        <w:ind w:firstLine="480" w:firstLineChars="200"/>
        <w:rPr>
          <w:sz w:val="24"/>
        </w:rPr>
      </w:pPr>
    </w:p>
    <w:p>
      <w:pPr>
        <w:pStyle w:val="6"/>
        <w:snapToGrid w:val="0"/>
        <w:spacing w:before="120" w:after="120" w:line="240" w:lineRule="auto"/>
        <w:rPr>
          <w:sz w:val="24"/>
          <w:szCs w:val="24"/>
        </w:rPr>
      </w:pPr>
      <w:bookmarkStart w:id="341" w:name="_Toc401000077"/>
      <w:bookmarkStart w:id="342" w:name="_Toc19649"/>
      <w:bookmarkStart w:id="343" w:name="_Toc8834"/>
      <w:r>
        <w:rPr>
          <w:sz w:val="24"/>
          <w:szCs w:val="24"/>
        </w:rPr>
        <w:t>三、评标纪律</w:t>
      </w:r>
      <w:bookmarkEnd w:id="341"/>
      <w:bookmarkEnd w:id="342"/>
      <w:bookmarkEnd w:id="343"/>
    </w:p>
    <w:p>
      <w:pPr>
        <w:spacing w:line="360" w:lineRule="auto"/>
        <w:ind w:firstLine="480" w:firstLineChars="200"/>
        <w:rPr>
          <w:sz w:val="24"/>
        </w:rPr>
      </w:pPr>
      <w:r>
        <w:rPr>
          <w:sz w:val="24"/>
        </w:rPr>
        <w:t>3.1评标委员会依法进行评标活动，评标结果由评标委员会独立做出，不受任何单位和个人的影响。</w:t>
      </w:r>
    </w:p>
    <w:p>
      <w:pPr>
        <w:spacing w:line="360" w:lineRule="auto"/>
        <w:ind w:firstLine="480" w:firstLineChars="200"/>
        <w:rPr>
          <w:sz w:val="24"/>
        </w:rPr>
      </w:pPr>
      <w:r>
        <w:rPr>
          <w:sz w:val="24"/>
        </w:rPr>
        <w:t>3.2评标委员会成员接受投标人、其他利害关系人的贿赂或者获取其他不正当利益的，评标委员会成员或者与评标活动有关的工作人员向他人透露对投标文件的评审和比较、中标候选单位的推荐以及与评标有关的其他情况的，将给予警告，并取消担任评标委员会成员的资格，不得再继续参加本项目的评标。</w:t>
      </w:r>
    </w:p>
    <w:p>
      <w:pPr>
        <w:spacing w:line="360" w:lineRule="auto"/>
        <w:ind w:firstLine="480" w:firstLineChars="200"/>
        <w:rPr>
          <w:sz w:val="24"/>
        </w:rPr>
      </w:pPr>
      <w:r>
        <w:rPr>
          <w:sz w:val="24"/>
        </w:rPr>
        <w:t>3.3所有参加评标工作的人员，在评标期间应认真遵守以下保密规定：</w:t>
      </w:r>
    </w:p>
    <w:p>
      <w:pPr>
        <w:spacing w:line="360" w:lineRule="auto"/>
        <w:ind w:firstLine="480" w:firstLineChars="200"/>
        <w:rPr>
          <w:sz w:val="24"/>
        </w:rPr>
      </w:pPr>
      <w:r>
        <w:rPr>
          <w:sz w:val="24"/>
        </w:rPr>
        <w:t>a.自开标后，有关投标的审查、评定、澄清等问题，以及评标情况均属于机密，任何人不得对外泄漏；</w:t>
      </w:r>
    </w:p>
    <w:p>
      <w:pPr>
        <w:spacing w:line="360" w:lineRule="auto"/>
        <w:ind w:firstLine="480" w:firstLineChars="200"/>
        <w:rPr>
          <w:sz w:val="24"/>
        </w:rPr>
      </w:pPr>
      <w:r>
        <w:rPr>
          <w:sz w:val="24"/>
        </w:rPr>
        <w:t>b.在评标阶段，所有对外活动以及对有关问题的澄清，都必须由评标委员会负责组织进行，严禁任何工作人员或评委擅自进行对外活动；</w:t>
      </w:r>
    </w:p>
    <w:p>
      <w:pPr>
        <w:spacing w:line="360" w:lineRule="auto"/>
        <w:ind w:firstLine="480" w:firstLineChars="200"/>
        <w:rPr>
          <w:sz w:val="24"/>
        </w:rPr>
      </w:pPr>
      <w:r>
        <w:rPr>
          <w:sz w:val="24"/>
        </w:rPr>
        <w:t>c.如发现评标人员违反本保密条例或有意泄密，招标人可立即取消其评委资格或终止其参加评标工作；</w:t>
      </w:r>
    </w:p>
    <w:p>
      <w:pPr>
        <w:spacing w:line="360" w:lineRule="auto"/>
        <w:ind w:firstLine="480" w:firstLineChars="200"/>
        <w:rPr>
          <w:sz w:val="24"/>
        </w:rPr>
      </w:pPr>
      <w:r>
        <w:rPr>
          <w:sz w:val="24"/>
        </w:rPr>
        <w:t>d.评标委员会在个人阅评中，除与本次评标有关的交流、讨论外，不得互相联络，不得随意评论投标人，不得向其他评标人施加对评标结果带有倾向性的影响；</w:t>
      </w:r>
    </w:p>
    <w:p>
      <w:pPr>
        <w:spacing w:line="360" w:lineRule="auto"/>
        <w:ind w:firstLine="480" w:firstLineChars="200"/>
        <w:rPr>
          <w:sz w:val="24"/>
        </w:rPr>
      </w:pPr>
      <w:r>
        <w:rPr>
          <w:sz w:val="24"/>
        </w:rPr>
        <w:t>e.所有评标过程中应用的全部纸张、表格、文字意见等原始资料在评标结束后必须按照保密文件要求封存；</w:t>
      </w:r>
    </w:p>
    <w:p>
      <w:pPr>
        <w:spacing w:line="360" w:lineRule="auto"/>
        <w:ind w:firstLine="480" w:firstLineChars="200"/>
        <w:rPr>
          <w:sz w:val="24"/>
        </w:rPr>
      </w:pPr>
      <w:r>
        <w:rPr>
          <w:sz w:val="24"/>
        </w:rPr>
        <w:t>f.评标结束后，除统一对外公开的信息以外，评标工作人员不得将评标过程及有关内容对外泄露。</w:t>
      </w:r>
    </w:p>
    <w:p>
      <w:pPr>
        <w:spacing w:line="360" w:lineRule="auto"/>
        <w:ind w:firstLine="480" w:firstLineChars="200"/>
        <w:rPr>
          <w:sz w:val="24"/>
        </w:rPr>
      </w:pPr>
    </w:p>
    <w:p>
      <w:pPr>
        <w:pStyle w:val="6"/>
        <w:snapToGrid w:val="0"/>
        <w:spacing w:before="120" w:after="120" w:line="240" w:lineRule="auto"/>
        <w:rPr>
          <w:sz w:val="24"/>
          <w:szCs w:val="24"/>
        </w:rPr>
      </w:pPr>
      <w:bookmarkStart w:id="344" w:name="_Toc401000078"/>
      <w:bookmarkStart w:id="345" w:name="_Toc28999"/>
      <w:bookmarkStart w:id="346" w:name="_Toc4410"/>
      <w:r>
        <w:rPr>
          <w:sz w:val="24"/>
          <w:szCs w:val="24"/>
        </w:rPr>
        <w:t>四、评标的程序</w:t>
      </w:r>
      <w:bookmarkEnd w:id="344"/>
      <w:bookmarkEnd w:id="345"/>
      <w:bookmarkEnd w:id="346"/>
    </w:p>
    <w:p>
      <w:pPr>
        <w:spacing w:line="360" w:lineRule="auto"/>
        <w:ind w:firstLine="480" w:firstLineChars="200"/>
        <w:rPr>
          <w:sz w:val="24"/>
        </w:rPr>
      </w:pPr>
      <w:r>
        <w:rPr>
          <w:sz w:val="24"/>
        </w:rPr>
        <w:t>评标工作分以下四个步骤进行：</w:t>
      </w:r>
    </w:p>
    <w:p>
      <w:pPr>
        <w:spacing w:line="360" w:lineRule="auto"/>
        <w:ind w:firstLine="482" w:firstLineChars="200"/>
        <w:rPr>
          <w:sz w:val="24"/>
        </w:rPr>
      </w:pPr>
      <w:r>
        <w:rPr>
          <w:b/>
          <w:bCs/>
          <w:sz w:val="24"/>
        </w:rPr>
        <w:t>4.1投标文件的初审</w:t>
      </w:r>
    </w:p>
    <w:p>
      <w:pPr>
        <w:spacing w:line="360" w:lineRule="auto"/>
        <w:ind w:firstLine="480" w:firstLineChars="200"/>
        <w:rPr>
          <w:sz w:val="24"/>
        </w:rPr>
      </w:pPr>
      <w:r>
        <w:rPr>
          <w:sz w:val="24"/>
        </w:rPr>
        <w:t>评标委员会根据招标文件中确定的标准，从审查投标文件的有效性、实质性响应、细微偏差处理、是否需要澄清等方面对投标文件进行初步筛选，确定进入下一阶段的投标人。</w:t>
      </w:r>
    </w:p>
    <w:p>
      <w:pPr>
        <w:spacing w:line="360" w:lineRule="auto"/>
        <w:ind w:firstLine="480" w:firstLineChars="200"/>
        <w:rPr>
          <w:sz w:val="24"/>
        </w:rPr>
      </w:pPr>
      <w:r>
        <w:rPr>
          <w:sz w:val="24"/>
        </w:rPr>
        <w:t>4.1.1初审的标准</w:t>
      </w:r>
    </w:p>
    <w:p>
      <w:pPr>
        <w:spacing w:line="360" w:lineRule="auto"/>
        <w:ind w:firstLine="480" w:firstLineChars="200"/>
        <w:rPr>
          <w:sz w:val="24"/>
        </w:rPr>
      </w:pPr>
      <w:r>
        <w:rPr>
          <w:sz w:val="24"/>
        </w:rPr>
        <w:t>（1）投标文件的有效性，有以下情况之一的投标文件无效：</w:t>
      </w:r>
    </w:p>
    <w:p>
      <w:pPr>
        <w:spacing w:line="360" w:lineRule="auto"/>
        <w:ind w:firstLine="482" w:firstLineChars="200"/>
        <w:rPr>
          <w:b/>
          <w:sz w:val="24"/>
        </w:rPr>
      </w:pPr>
      <w:r>
        <w:rPr>
          <w:b/>
          <w:sz w:val="24"/>
        </w:rPr>
        <w:t>a)投标文件未按规定密封和/或投标文件未按规定加盖公章和签字；</w:t>
      </w:r>
    </w:p>
    <w:p>
      <w:pPr>
        <w:spacing w:line="360" w:lineRule="auto"/>
        <w:ind w:firstLine="482" w:firstLineChars="200"/>
        <w:rPr>
          <w:b/>
          <w:sz w:val="24"/>
        </w:rPr>
      </w:pPr>
      <w:r>
        <w:rPr>
          <w:b/>
          <w:sz w:val="24"/>
        </w:rPr>
        <w:t>b)投标文件未按规定格式、内容填写和/或投标文件内容与招标文件有严重背离；</w:t>
      </w:r>
    </w:p>
    <w:p>
      <w:pPr>
        <w:spacing w:line="360" w:lineRule="auto"/>
        <w:ind w:firstLine="482" w:firstLineChars="200"/>
        <w:rPr>
          <w:b/>
          <w:sz w:val="24"/>
        </w:rPr>
      </w:pPr>
      <w:r>
        <w:rPr>
          <w:b/>
          <w:sz w:val="24"/>
        </w:rPr>
        <w:t>c)在投标文件中针对同一险种有两个及两个以上的选择性报价；</w:t>
      </w:r>
    </w:p>
    <w:p>
      <w:pPr>
        <w:spacing w:line="360" w:lineRule="auto"/>
        <w:ind w:firstLine="482" w:firstLineChars="200"/>
        <w:rPr>
          <w:b/>
          <w:sz w:val="24"/>
        </w:rPr>
      </w:pPr>
      <w:r>
        <w:rPr>
          <w:rFonts w:hint="eastAsia"/>
          <w:b/>
          <w:sz w:val="24"/>
        </w:rPr>
        <w:t>d</w:t>
      </w:r>
      <w:r>
        <w:rPr>
          <w:b/>
          <w:sz w:val="24"/>
        </w:rPr>
        <w:t>）评标委员会认为其它不符合招标文件要求的投标。</w:t>
      </w:r>
    </w:p>
    <w:p>
      <w:pPr>
        <w:spacing w:line="360" w:lineRule="auto"/>
        <w:ind w:firstLine="480" w:firstLineChars="200"/>
        <w:rPr>
          <w:bCs/>
          <w:sz w:val="24"/>
        </w:rPr>
      </w:pPr>
      <w:r>
        <w:rPr>
          <w:bCs/>
          <w:sz w:val="24"/>
        </w:rPr>
        <w:t>（2）实质性响应审查</w:t>
      </w:r>
    </w:p>
    <w:p>
      <w:pPr>
        <w:spacing w:line="360" w:lineRule="auto"/>
        <w:ind w:firstLine="480" w:firstLineChars="200"/>
        <w:rPr>
          <w:sz w:val="24"/>
        </w:rPr>
      </w:pPr>
      <w:r>
        <w:rPr>
          <w:sz w:val="24"/>
        </w:rPr>
        <w:t>a)投标文件中的重大偏离不允许在开标后修正，但允许投标人修正投标文件中不构成重大偏离的、微小的不一致或不规范的内容，这些修正不会影响任何投标人相应的名次排列；</w:t>
      </w:r>
    </w:p>
    <w:p>
      <w:pPr>
        <w:spacing w:line="360" w:lineRule="auto"/>
        <w:ind w:firstLine="480" w:firstLineChars="200"/>
        <w:rPr>
          <w:sz w:val="24"/>
        </w:rPr>
      </w:pPr>
      <w:r>
        <w:rPr>
          <w:sz w:val="24"/>
        </w:rPr>
        <w:t>b)如果投标文件实质上没有响应招标文件的要求，评标委员会将予以拒绝，投标人不得通过修正或撤销不合要求的偏离从而使其成为实质性响应的投标；</w:t>
      </w:r>
    </w:p>
    <w:p>
      <w:pPr>
        <w:spacing w:line="360" w:lineRule="auto"/>
        <w:ind w:firstLine="480" w:firstLineChars="200"/>
        <w:rPr>
          <w:bCs/>
          <w:sz w:val="24"/>
        </w:rPr>
      </w:pPr>
      <w:r>
        <w:rPr>
          <w:bCs/>
          <w:sz w:val="24"/>
        </w:rPr>
        <w:t>（3）细微偏差处理</w:t>
      </w:r>
    </w:p>
    <w:p>
      <w:pPr>
        <w:spacing w:line="360" w:lineRule="auto"/>
        <w:ind w:firstLine="480" w:firstLineChars="200"/>
        <w:rPr>
          <w:sz w:val="24"/>
        </w:rPr>
      </w:pPr>
      <w:r>
        <w:rPr>
          <w:sz w:val="24"/>
        </w:rPr>
        <w:t>细微偏差是指投标文件实质性响应招标文件的要求，但在个别地方存在漏项或者提供了不完整的技术信息或数据等情况，补正这些遗漏或者不完整不会对其他投标人造成不公平的结果。在初审中，细微偏差按照以下原则处理：</w:t>
      </w:r>
    </w:p>
    <w:p>
      <w:pPr>
        <w:spacing w:line="360" w:lineRule="auto"/>
        <w:ind w:firstLine="480" w:firstLineChars="200"/>
        <w:rPr>
          <w:sz w:val="24"/>
        </w:rPr>
      </w:pPr>
      <w:r>
        <w:rPr>
          <w:sz w:val="24"/>
        </w:rPr>
        <w:t>a.如果以文字表示的数据与以数字表示的有差别，以文字为准修正数字；</w:t>
      </w:r>
    </w:p>
    <w:p>
      <w:pPr>
        <w:spacing w:line="360" w:lineRule="auto"/>
        <w:ind w:firstLine="480" w:firstLineChars="200"/>
        <w:rPr>
          <w:sz w:val="24"/>
        </w:rPr>
      </w:pPr>
      <w:r>
        <w:rPr>
          <w:sz w:val="24"/>
        </w:rPr>
        <w:t>b.如果大小写金额不一致，以大写金额为准；</w:t>
      </w:r>
    </w:p>
    <w:p>
      <w:pPr>
        <w:spacing w:line="360" w:lineRule="auto"/>
        <w:ind w:firstLine="480" w:firstLineChars="200"/>
        <w:rPr>
          <w:sz w:val="24"/>
        </w:rPr>
      </w:pPr>
      <w:r>
        <w:rPr>
          <w:sz w:val="24"/>
        </w:rPr>
        <w:t>c.如果投标报价中的保险费率与保险金额的乘积与保费不一致时，以投标文件提供的保险费率与招标文件中相应的保险金额乘积所得结果为准修改保费；</w:t>
      </w:r>
    </w:p>
    <w:p>
      <w:pPr>
        <w:spacing w:line="360" w:lineRule="auto"/>
        <w:ind w:firstLine="480" w:firstLineChars="200"/>
        <w:rPr>
          <w:sz w:val="24"/>
        </w:rPr>
      </w:pPr>
      <w:r>
        <w:rPr>
          <w:sz w:val="24"/>
        </w:rPr>
        <w:t>d.对存在细微遗漏的投标，应按照所有投标人中的最高报价进行补齐；</w:t>
      </w:r>
    </w:p>
    <w:p>
      <w:pPr>
        <w:spacing w:line="360" w:lineRule="auto"/>
        <w:ind w:firstLine="480" w:firstLineChars="200"/>
        <w:rPr>
          <w:sz w:val="24"/>
        </w:rPr>
      </w:pPr>
      <w:r>
        <w:rPr>
          <w:sz w:val="24"/>
        </w:rPr>
        <w:t>e.调整后的报价应对投标人具有约束力，投标人不同意以上修正的，其投标将被拒绝。</w:t>
      </w:r>
    </w:p>
    <w:p>
      <w:pPr>
        <w:spacing w:line="360" w:lineRule="auto"/>
        <w:ind w:firstLine="480" w:firstLineChars="200"/>
        <w:rPr>
          <w:bCs/>
          <w:sz w:val="24"/>
        </w:rPr>
      </w:pPr>
      <w:r>
        <w:rPr>
          <w:bCs/>
          <w:sz w:val="24"/>
        </w:rPr>
        <w:t>（4）澄清、说明或者补正</w:t>
      </w:r>
    </w:p>
    <w:p>
      <w:pPr>
        <w:spacing w:line="360" w:lineRule="auto"/>
        <w:ind w:firstLine="480" w:firstLineChars="200"/>
        <w:rPr>
          <w:sz w:val="24"/>
        </w:rPr>
      </w:pPr>
      <w:r>
        <w:rPr>
          <w:sz w:val="24"/>
        </w:rPr>
        <w:t>a.对投标文件中表述含义不明确、对同类问题表述不一致或者有明显文字或计算错误的内容，评标委员会可以书面方式要求投标人做出必要的澄清、说明或者补正；</w:t>
      </w:r>
    </w:p>
    <w:p>
      <w:pPr>
        <w:spacing w:line="360" w:lineRule="auto"/>
        <w:ind w:firstLine="480" w:firstLineChars="200"/>
        <w:rPr>
          <w:sz w:val="24"/>
        </w:rPr>
      </w:pPr>
      <w:r>
        <w:rPr>
          <w:sz w:val="24"/>
        </w:rPr>
        <w:t>b.澄清、说明或者补正应当以书面方式进行，并不得超出投标文件的范围或者改变投标文件的实质性内容，澄清、说明或者补正应以不会给其他投标人造成不公平的结果为限；</w:t>
      </w:r>
    </w:p>
    <w:p>
      <w:pPr>
        <w:spacing w:line="360" w:lineRule="auto"/>
        <w:ind w:firstLine="480" w:firstLineChars="200"/>
        <w:rPr>
          <w:sz w:val="24"/>
        </w:rPr>
      </w:pPr>
      <w:r>
        <w:rPr>
          <w:sz w:val="24"/>
        </w:rPr>
        <w:t>c.该书面澄清、说明或者补正应有投标文件签署人的签章，并将作为投标文件的一部分；</w:t>
      </w:r>
    </w:p>
    <w:p>
      <w:pPr>
        <w:spacing w:line="360" w:lineRule="auto"/>
        <w:ind w:firstLine="480" w:firstLineChars="200"/>
        <w:rPr>
          <w:sz w:val="24"/>
        </w:rPr>
      </w:pPr>
      <w:r>
        <w:rPr>
          <w:sz w:val="24"/>
        </w:rPr>
        <w:t>d.投标人拒不按照要求对投标文件进行澄清、说明或者补正的，评标委员会有权否决其投标。</w:t>
      </w:r>
    </w:p>
    <w:p>
      <w:pPr>
        <w:spacing w:line="360" w:lineRule="auto"/>
        <w:ind w:firstLine="480" w:firstLineChars="200"/>
        <w:rPr>
          <w:sz w:val="24"/>
        </w:rPr>
      </w:pPr>
    </w:p>
    <w:p>
      <w:pPr>
        <w:spacing w:line="360" w:lineRule="auto"/>
        <w:ind w:firstLine="482" w:firstLineChars="200"/>
        <w:rPr>
          <w:b/>
          <w:bCs/>
          <w:sz w:val="24"/>
        </w:rPr>
      </w:pPr>
      <w:r>
        <w:rPr>
          <w:b/>
          <w:bCs/>
          <w:sz w:val="24"/>
        </w:rPr>
        <w:t>4.2比较与评价</w:t>
      </w:r>
    </w:p>
    <w:p>
      <w:pPr>
        <w:spacing w:line="360" w:lineRule="auto"/>
        <w:ind w:firstLine="480" w:firstLineChars="200"/>
        <w:rPr>
          <w:sz w:val="24"/>
        </w:rPr>
      </w:pPr>
      <w:r>
        <w:rPr>
          <w:sz w:val="24"/>
        </w:rPr>
        <w:t>4.2.1本次评标采用</w:t>
      </w:r>
      <w:r>
        <w:rPr>
          <w:b/>
          <w:sz w:val="24"/>
        </w:rPr>
        <w:t>综合评分法</w:t>
      </w:r>
      <w:r>
        <w:rPr>
          <w:sz w:val="24"/>
        </w:rPr>
        <w:t>。</w:t>
      </w:r>
    </w:p>
    <w:p>
      <w:pPr>
        <w:spacing w:line="360" w:lineRule="auto"/>
        <w:ind w:firstLine="480" w:firstLineChars="200"/>
        <w:rPr>
          <w:sz w:val="24"/>
        </w:rPr>
      </w:pPr>
      <w:r>
        <w:rPr>
          <w:sz w:val="24"/>
        </w:rPr>
        <w:t>4.2.2评标委员会将从以下几个方面对通过初审的入围投标文件进行系统的评审和比较，然后按照评分细则对每个评审因素进行量化，为每一有效投标评出总分。各项分值分布情况如下：</w:t>
      </w:r>
    </w:p>
    <w:p>
      <w:pPr>
        <w:jc w:val="center"/>
        <w:rPr>
          <w:rFonts w:ascii="宋体" w:hAnsi="宋体" w:cs="宋体"/>
          <w:b/>
          <w:sz w:val="28"/>
          <w:szCs w:val="28"/>
          <w:lang w:bidi="he-IL"/>
        </w:rPr>
      </w:pPr>
      <w:r>
        <w:rPr>
          <w:rFonts w:hint="eastAsia" w:ascii="宋体" w:hAnsi="宋体" w:cs="宋体"/>
          <w:b/>
          <w:sz w:val="28"/>
          <w:szCs w:val="28"/>
          <w:lang w:bidi="he-IL"/>
        </w:rPr>
        <w:t>评标细则</w:t>
      </w:r>
    </w:p>
    <w:p/>
    <w:tbl>
      <w:tblPr>
        <w:tblStyle w:val="24"/>
        <w:tblW w:w="8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77"/>
        <w:gridCol w:w="878"/>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jc w:val="center"/>
        </w:trPr>
        <w:tc>
          <w:tcPr>
            <w:tcW w:w="2571" w:type="dxa"/>
            <w:gridSpan w:val="2"/>
            <w:shd w:val="clear" w:color="auto" w:fill="D9D9D9"/>
            <w:vAlign w:val="center"/>
          </w:tcPr>
          <w:p>
            <w:pPr>
              <w:jc w:val="center"/>
              <w:rPr>
                <w:b/>
                <w:szCs w:val="21"/>
              </w:rPr>
            </w:pPr>
            <w:r>
              <w:rPr>
                <w:b/>
                <w:szCs w:val="21"/>
              </w:rPr>
              <w:t>评审项目</w:t>
            </w:r>
          </w:p>
        </w:tc>
        <w:tc>
          <w:tcPr>
            <w:tcW w:w="878" w:type="dxa"/>
            <w:tcBorders>
              <w:bottom w:val="single" w:color="auto" w:sz="4" w:space="0"/>
            </w:tcBorders>
            <w:shd w:val="clear" w:color="auto" w:fill="D9D9D9"/>
            <w:vAlign w:val="center"/>
          </w:tcPr>
          <w:p>
            <w:pPr>
              <w:jc w:val="center"/>
              <w:rPr>
                <w:b/>
                <w:szCs w:val="21"/>
              </w:rPr>
            </w:pPr>
            <w:r>
              <w:rPr>
                <w:b/>
                <w:szCs w:val="21"/>
              </w:rPr>
              <w:t>分值</w:t>
            </w:r>
          </w:p>
        </w:tc>
        <w:tc>
          <w:tcPr>
            <w:tcW w:w="4860" w:type="dxa"/>
            <w:tcBorders>
              <w:bottom w:val="single" w:color="auto" w:sz="4" w:space="0"/>
            </w:tcBorders>
            <w:shd w:val="clear" w:color="auto" w:fill="D9D9D9"/>
            <w:vAlign w:val="center"/>
          </w:tcPr>
          <w:p>
            <w:pPr>
              <w:jc w:val="center"/>
              <w:rPr>
                <w:b/>
                <w:szCs w:val="21"/>
              </w:rPr>
            </w:pPr>
            <w:r>
              <w:rPr>
                <w:b/>
                <w:szCs w:val="21"/>
              </w:rPr>
              <w:t>评审子项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571" w:type="dxa"/>
            <w:gridSpan w:val="2"/>
            <w:shd w:val="clear" w:color="auto" w:fill="D9D9D9"/>
            <w:vAlign w:val="center"/>
          </w:tcPr>
          <w:p>
            <w:pPr>
              <w:jc w:val="center"/>
              <w:rPr>
                <w:szCs w:val="21"/>
              </w:rPr>
            </w:pPr>
            <w:r>
              <w:rPr>
                <w:szCs w:val="21"/>
              </w:rPr>
              <w:t>保险报价</w:t>
            </w:r>
          </w:p>
          <w:p>
            <w:pPr>
              <w:jc w:val="center"/>
              <w:rPr>
                <w:szCs w:val="21"/>
              </w:rPr>
            </w:pPr>
            <w:r>
              <w:rPr>
                <w:szCs w:val="21"/>
              </w:rPr>
              <w:t>（</w:t>
            </w:r>
            <w:r>
              <w:rPr>
                <w:rFonts w:hint="eastAsia"/>
                <w:szCs w:val="21"/>
              </w:rPr>
              <w:t>70</w:t>
            </w:r>
            <w:r>
              <w:rPr>
                <w:szCs w:val="21"/>
              </w:rPr>
              <w:t>分）</w:t>
            </w:r>
          </w:p>
          <w:p>
            <w:pPr>
              <w:jc w:val="center"/>
              <w:rPr>
                <w:szCs w:val="21"/>
              </w:rPr>
            </w:pPr>
          </w:p>
        </w:tc>
        <w:tc>
          <w:tcPr>
            <w:tcW w:w="878" w:type="dxa"/>
            <w:vAlign w:val="center"/>
          </w:tcPr>
          <w:p>
            <w:pPr>
              <w:jc w:val="center"/>
              <w:rPr>
                <w:szCs w:val="21"/>
              </w:rPr>
            </w:pPr>
            <w:r>
              <w:rPr>
                <w:rFonts w:hint="eastAsia"/>
                <w:szCs w:val="21"/>
              </w:rPr>
              <w:t>70</w:t>
            </w:r>
          </w:p>
        </w:tc>
        <w:tc>
          <w:tcPr>
            <w:tcW w:w="4860" w:type="dxa"/>
            <w:vAlign w:val="center"/>
          </w:tcPr>
          <w:p>
            <w:pPr>
              <w:numPr>
                <w:ilvl w:val="1"/>
                <w:numId w:val="1"/>
              </w:numPr>
              <w:tabs>
                <w:tab w:val="left" w:pos="540"/>
              </w:tabs>
              <w:adjustRightInd w:val="0"/>
              <w:snapToGrid w:val="0"/>
              <w:ind w:left="539"/>
              <w:rPr>
                <w:bCs/>
                <w:szCs w:val="21"/>
              </w:rPr>
            </w:pPr>
            <w:r>
              <w:rPr>
                <w:rFonts w:hint="eastAsia"/>
                <w:bCs/>
                <w:szCs w:val="21"/>
              </w:rPr>
              <w:t>评分基准价=有效报价的投标人中的</w:t>
            </w:r>
            <w:r>
              <w:rPr>
                <w:rFonts w:hint="eastAsia"/>
                <w:bCs/>
                <w:szCs w:val="21"/>
                <w:highlight w:val="none"/>
              </w:rPr>
              <w:t>最低价</w:t>
            </w:r>
            <w:r>
              <w:rPr>
                <w:bCs/>
                <w:szCs w:val="21"/>
              </w:rPr>
              <w:t>；</w:t>
            </w:r>
          </w:p>
          <w:p>
            <w:pPr>
              <w:numPr>
                <w:ilvl w:val="1"/>
                <w:numId w:val="1"/>
              </w:numPr>
              <w:tabs>
                <w:tab w:val="left" w:pos="540"/>
              </w:tabs>
              <w:adjustRightInd w:val="0"/>
              <w:snapToGrid w:val="0"/>
              <w:ind w:left="539"/>
              <w:rPr>
                <w:szCs w:val="21"/>
              </w:rPr>
            </w:pPr>
            <w:r>
              <w:rPr>
                <w:szCs w:val="21"/>
              </w:rPr>
              <w:t>有效报价等于评分基准价的得分为</w:t>
            </w:r>
            <w:r>
              <w:rPr>
                <w:rFonts w:hint="eastAsia"/>
                <w:szCs w:val="21"/>
              </w:rPr>
              <w:t>70</w:t>
            </w:r>
            <w:r>
              <w:rPr>
                <w:szCs w:val="21"/>
              </w:rPr>
              <w:t>分；报价每高于基准价1％，扣1分（保留小数点后2位）；</w:t>
            </w:r>
          </w:p>
          <w:p>
            <w:pPr>
              <w:numPr>
                <w:ilvl w:val="1"/>
                <w:numId w:val="1"/>
              </w:numPr>
              <w:tabs>
                <w:tab w:val="left" w:pos="540"/>
              </w:tabs>
              <w:adjustRightInd w:val="0"/>
              <w:snapToGrid w:val="0"/>
              <w:ind w:left="539"/>
              <w:rPr>
                <w:szCs w:val="21"/>
              </w:rPr>
            </w:pPr>
            <w:r>
              <w:rPr>
                <w:rFonts w:hint="eastAsia"/>
                <w:szCs w:val="21"/>
              </w:rPr>
              <w:t>本项最低为0分。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94" w:type="dxa"/>
            <w:vMerge w:val="restart"/>
            <w:shd w:val="clear" w:color="auto" w:fill="D9D9D9"/>
            <w:vAlign w:val="center"/>
          </w:tcPr>
          <w:p>
            <w:pPr>
              <w:jc w:val="center"/>
              <w:rPr>
                <w:szCs w:val="21"/>
              </w:rPr>
            </w:pPr>
            <w:r>
              <w:rPr>
                <w:szCs w:val="21"/>
              </w:rPr>
              <w:t>保险条件（1</w:t>
            </w:r>
            <w:r>
              <w:rPr>
                <w:rFonts w:hint="eastAsia"/>
                <w:szCs w:val="21"/>
              </w:rPr>
              <w:t>0</w:t>
            </w:r>
            <w:r>
              <w:rPr>
                <w:szCs w:val="21"/>
              </w:rPr>
              <w:t>分）</w:t>
            </w:r>
          </w:p>
        </w:tc>
        <w:tc>
          <w:tcPr>
            <w:tcW w:w="1477" w:type="dxa"/>
            <w:shd w:val="clear" w:color="auto" w:fill="D9D9D9"/>
            <w:vAlign w:val="center"/>
          </w:tcPr>
          <w:p>
            <w:pPr>
              <w:jc w:val="center"/>
              <w:rPr>
                <w:szCs w:val="21"/>
              </w:rPr>
            </w:pPr>
            <w:r>
              <w:rPr>
                <w:szCs w:val="21"/>
              </w:rPr>
              <w:t>实质性差异条件</w:t>
            </w:r>
          </w:p>
        </w:tc>
        <w:tc>
          <w:tcPr>
            <w:tcW w:w="878" w:type="dxa"/>
            <w:vAlign w:val="center"/>
          </w:tcPr>
          <w:p>
            <w:pPr>
              <w:jc w:val="center"/>
              <w:rPr>
                <w:szCs w:val="21"/>
              </w:rPr>
            </w:pPr>
            <w:r>
              <w:rPr>
                <w:rFonts w:hint="eastAsia"/>
                <w:szCs w:val="21"/>
              </w:rPr>
              <w:t>6</w:t>
            </w:r>
          </w:p>
        </w:tc>
        <w:tc>
          <w:tcPr>
            <w:tcW w:w="4860" w:type="dxa"/>
            <w:vAlign w:val="center"/>
          </w:tcPr>
          <w:p>
            <w:pPr>
              <w:rPr>
                <w:szCs w:val="21"/>
              </w:rPr>
            </w:pPr>
            <w:r>
              <w:rPr>
                <w:rFonts w:hint="eastAsia"/>
                <w:szCs w:val="21"/>
              </w:rPr>
              <w:t>1）</w:t>
            </w:r>
            <w:r>
              <w:rPr>
                <w:szCs w:val="21"/>
              </w:rPr>
              <w:t>未提出实质性差异者，得</w:t>
            </w:r>
            <w:r>
              <w:rPr>
                <w:rFonts w:hint="eastAsia"/>
                <w:szCs w:val="21"/>
              </w:rPr>
              <w:t>6</w:t>
            </w:r>
            <w:r>
              <w:rPr>
                <w:szCs w:val="21"/>
              </w:rPr>
              <w:t>分；</w:t>
            </w:r>
          </w:p>
          <w:p>
            <w:pPr>
              <w:rPr>
                <w:szCs w:val="21"/>
              </w:rPr>
            </w:pPr>
            <w:r>
              <w:rPr>
                <w:rFonts w:hint="eastAsia"/>
                <w:szCs w:val="21"/>
              </w:rPr>
              <w:t>2）</w:t>
            </w:r>
            <w:r>
              <w:rPr>
                <w:szCs w:val="21"/>
              </w:rPr>
              <w:t>提出实质性差异条件者，视差异程度扣分，每一差异条件最多扣</w:t>
            </w:r>
            <w:r>
              <w:rPr>
                <w:rFonts w:hint="eastAsia"/>
                <w:szCs w:val="21"/>
              </w:rPr>
              <w:t>2</w:t>
            </w:r>
            <w:r>
              <w:rPr>
                <w:szCs w:val="21"/>
              </w:rPr>
              <w:t>分；</w:t>
            </w:r>
          </w:p>
          <w:p>
            <w:pPr>
              <w:rPr>
                <w:szCs w:val="21"/>
              </w:rPr>
            </w:pPr>
            <w:r>
              <w:rPr>
                <w:iCs/>
                <w:szCs w:val="21"/>
              </w:rPr>
              <w:t>注：实质性差异指的是在原招标文件保险合同条款的基础上提出了削弱保障范围或程度、降低理赔标准、提高免赔额、增加被保险人义务等差异条件。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94" w:type="dxa"/>
            <w:vMerge w:val="continue"/>
            <w:shd w:val="clear" w:color="auto" w:fill="D9D9D9"/>
            <w:vAlign w:val="center"/>
          </w:tcPr>
          <w:p>
            <w:pPr>
              <w:jc w:val="center"/>
              <w:rPr>
                <w:szCs w:val="21"/>
              </w:rPr>
            </w:pPr>
          </w:p>
        </w:tc>
        <w:tc>
          <w:tcPr>
            <w:tcW w:w="1477" w:type="dxa"/>
            <w:shd w:val="clear" w:color="auto" w:fill="D9D9D9"/>
            <w:vAlign w:val="center"/>
          </w:tcPr>
          <w:p>
            <w:pPr>
              <w:jc w:val="center"/>
              <w:rPr>
                <w:szCs w:val="21"/>
              </w:rPr>
            </w:pPr>
            <w:r>
              <w:rPr>
                <w:szCs w:val="21"/>
              </w:rPr>
              <w:t>实质性优惠条件</w:t>
            </w:r>
          </w:p>
        </w:tc>
        <w:tc>
          <w:tcPr>
            <w:tcW w:w="878" w:type="dxa"/>
            <w:vAlign w:val="center"/>
          </w:tcPr>
          <w:p>
            <w:pPr>
              <w:jc w:val="center"/>
              <w:rPr>
                <w:szCs w:val="21"/>
              </w:rPr>
            </w:pPr>
            <w:r>
              <w:rPr>
                <w:rFonts w:hint="eastAsia"/>
                <w:szCs w:val="21"/>
              </w:rPr>
              <w:t>4</w:t>
            </w:r>
          </w:p>
        </w:tc>
        <w:tc>
          <w:tcPr>
            <w:tcW w:w="4860" w:type="dxa"/>
            <w:vAlign w:val="center"/>
          </w:tcPr>
          <w:p>
            <w:pPr>
              <w:numPr>
                <w:ilvl w:val="0"/>
                <w:numId w:val="9"/>
              </w:numPr>
            </w:pPr>
            <w:r>
              <w:t>提出实质性优惠条件者，视优惠程度评分，每个优惠条件最高</w:t>
            </w:r>
            <w:r>
              <w:rPr>
                <w:rFonts w:hint="eastAsia"/>
              </w:rPr>
              <w:t>2</w:t>
            </w:r>
            <w:r>
              <w:t>分，本项最高不超过</w:t>
            </w:r>
            <w:r>
              <w:rPr>
                <w:rFonts w:hint="eastAsia"/>
              </w:rPr>
              <w:t>4</w:t>
            </w:r>
            <w:r>
              <w:t>分；</w:t>
            </w:r>
          </w:p>
          <w:p>
            <w:pPr>
              <w:pStyle w:val="23"/>
              <w:spacing w:line="240" w:lineRule="auto"/>
              <w:ind w:firstLine="0" w:firstLineChars="0"/>
            </w:pPr>
            <w:r>
              <w:rPr>
                <w:rFonts w:hint="eastAsia" w:eastAsia="宋体"/>
                <w:iCs/>
                <w:kern w:val="2"/>
                <w:sz w:val="21"/>
                <w:szCs w:val="21"/>
              </w:rPr>
              <w:t>注：实质性优惠指的是在原招标文件保险合同条款的基础上提出了提升保障范围或程度、提高理赔标准、降低免赔额、减少被保险人义务等优惠条件。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94" w:type="dxa"/>
            <w:vMerge w:val="restart"/>
            <w:shd w:val="clear" w:color="auto" w:fill="D9D9D9"/>
            <w:vAlign w:val="center"/>
          </w:tcPr>
          <w:p>
            <w:pPr>
              <w:jc w:val="center"/>
              <w:rPr>
                <w:szCs w:val="21"/>
              </w:rPr>
            </w:pPr>
            <w:r>
              <w:rPr>
                <w:szCs w:val="21"/>
              </w:rPr>
              <w:t>综合实力（</w:t>
            </w:r>
            <w:r>
              <w:rPr>
                <w:rFonts w:hint="eastAsia"/>
                <w:szCs w:val="21"/>
              </w:rPr>
              <w:t>10</w:t>
            </w:r>
            <w:r>
              <w:rPr>
                <w:szCs w:val="21"/>
              </w:rPr>
              <w:t>分）</w:t>
            </w:r>
          </w:p>
        </w:tc>
        <w:tc>
          <w:tcPr>
            <w:tcW w:w="1477" w:type="dxa"/>
            <w:shd w:val="clear" w:color="auto" w:fill="D9D9D9"/>
            <w:vAlign w:val="center"/>
          </w:tcPr>
          <w:p>
            <w:pPr>
              <w:jc w:val="center"/>
              <w:rPr>
                <w:szCs w:val="21"/>
              </w:rPr>
            </w:pPr>
            <w:r>
              <w:rPr>
                <w:rFonts w:hint="eastAsia"/>
                <w:szCs w:val="21"/>
              </w:rPr>
              <w:t>综合偿付能力充足率</w:t>
            </w:r>
          </w:p>
        </w:tc>
        <w:tc>
          <w:tcPr>
            <w:tcW w:w="878" w:type="dxa"/>
            <w:vAlign w:val="center"/>
          </w:tcPr>
          <w:p>
            <w:pPr>
              <w:jc w:val="center"/>
              <w:rPr>
                <w:szCs w:val="21"/>
              </w:rPr>
            </w:pPr>
            <w:r>
              <w:rPr>
                <w:rFonts w:hint="eastAsia"/>
                <w:szCs w:val="21"/>
              </w:rPr>
              <w:t>2</w:t>
            </w:r>
          </w:p>
        </w:tc>
        <w:tc>
          <w:tcPr>
            <w:tcW w:w="4860" w:type="dxa"/>
            <w:vAlign w:val="center"/>
          </w:tcPr>
          <w:p>
            <w:r>
              <w:rPr>
                <w:rFonts w:hint="eastAsia"/>
              </w:rPr>
              <w:t>综合偿付能力充足率考察指标为投标人202</w:t>
            </w:r>
            <w:r>
              <w:rPr>
                <w:rFonts w:hint="eastAsia"/>
                <w:lang w:val="en-US" w:eastAsia="zh-CN"/>
              </w:rPr>
              <w:t>2</w:t>
            </w:r>
            <w:r>
              <w:rPr>
                <w:rFonts w:hint="eastAsia"/>
              </w:rPr>
              <w:t>年上半年数据：</w:t>
            </w:r>
          </w:p>
          <w:p>
            <w:r>
              <w:rPr>
                <w:rFonts w:hint="eastAsia"/>
              </w:rPr>
              <w:t>综合偿付能力充足率高于250%，得2分；</w:t>
            </w:r>
          </w:p>
          <w:p>
            <w:r>
              <w:rPr>
                <w:rFonts w:hint="eastAsia"/>
              </w:rPr>
              <w:t>综合偿付能力充足率100%（含）-250%（含），得1分；</w:t>
            </w:r>
          </w:p>
          <w:p>
            <w:r>
              <w:rPr>
                <w:rFonts w:hint="eastAsia"/>
              </w:rPr>
              <w:t>综合偿付能力充足率低于100%，不得分。</w:t>
            </w:r>
          </w:p>
          <w:p>
            <w:pPr>
              <w:pStyle w:val="2"/>
            </w:pPr>
            <w:r>
              <w:rPr>
                <w:rFonts w:hint="eastAsia"/>
                <w:szCs w:val="21"/>
              </w:rPr>
              <w:t>注：提供保险公司偿付能力报告。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4" w:type="dxa"/>
            <w:vMerge w:val="continue"/>
            <w:shd w:val="clear" w:color="auto" w:fill="D9D9D9"/>
            <w:vAlign w:val="center"/>
          </w:tcPr>
          <w:p>
            <w:pPr>
              <w:jc w:val="center"/>
              <w:rPr>
                <w:szCs w:val="21"/>
              </w:rPr>
            </w:pPr>
          </w:p>
        </w:tc>
        <w:tc>
          <w:tcPr>
            <w:tcW w:w="1477" w:type="dxa"/>
            <w:shd w:val="clear" w:color="auto" w:fill="D9D9D9"/>
            <w:vAlign w:val="center"/>
          </w:tcPr>
          <w:p>
            <w:pPr>
              <w:jc w:val="center"/>
              <w:rPr>
                <w:szCs w:val="21"/>
              </w:rPr>
            </w:pPr>
            <w:r>
              <w:rPr>
                <w:szCs w:val="21"/>
              </w:rPr>
              <w:t>项目承保经验</w:t>
            </w:r>
          </w:p>
        </w:tc>
        <w:tc>
          <w:tcPr>
            <w:tcW w:w="878" w:type="dxa"/>
            <w:vAlign w:val="center"/>
          </w:tcPr>
          <w:p>
            <w:pPr>
              <w:jc w:val="center"/>
              <w:rPr>
                <w:szCs w:val="21"/>
              </w:rPr>
            </w:pPr>
            <w:r>
              <w:rPr>
                <w:rFonts w:hint="eastAsia"/>
                <w:szCs w:val="21"/>
              </w:rPr>
              <w:t>4</w:t>
            </w:r>
          </w:p>
        </w:tc>
        <w:tc>
          <w:tcPr>
            <w:tcW w:w="4860" w:type="dxa"/>
            <w:vAlign w:val="center"/>
          </w:tcPr>
          <w:p>
            <w:pPr>
              <w:rPr>
                <w:szCs w:val="21"/>
              </w:rPr>
            </w:pPr>
            <w:r>
              <w:rPr>
                <w:rFonts w:hint="eastAsia"/>
                <w:szCs w:val="21"/>
              </w:rPr>
              <w:t>近三年</w:t>
            </w:r>
            <w:r>
              <w:rPr>
                <w:szCs w:val="21"/>
              </w:rPr>
              <w:t>参与合同额</w:t>
            </w:r>
            <w:r>
              <w:rPr>
                <w:rFonts w:hint="eastAsia"/>
                <w:szCs w:val="21"/>
              </w:rPr>
              <w:t>15</w:t>
            </w:r>
            <w:r>
              <w:rPr>
                <w:szCs w:val="21"/>
              </w:rPr>
              <w:t>亿元以上同类</w:t>
            </w:r>
            <w:r>
              <w:rPr>
                <w:rFonts w:hint="eastAsia"/>
                <w:szCs w:val="21"/>
              </w:rPr>
              <w:t>财产保险</w:t>
            </w:r>
            <w:r>
              <w:rPr>
                <w:szCs w:val="21"/>
              </w:rPr>
              <w:t>项目的承保经验，最高分不超过</w:t>
            </w:r>
            <w:r>
              <w:rPr>
                <w:rFonts w:hint="eastAsia"/>
                <w:szCs w:val="21"/>
              </w:rPr>
              <w:t>4</w:t>
            </w:r>
            <w:r>
              <w:rPr>
                <w:szCs w:val="21"/>
              </w:rPr>
              <w:t>分：</w:t>
            </w:r>
          </w:p>
          <w:p>
            <w:pPr>
              <w:rPr>
                <w:szCs w:val="21"/>
              </w:rPr>
            </w:pPr>
            <w:r>
              <w:rPr>
                <w:szCs w:val="21"/>
              </w:rPr>
              <w:t>1）独家承保或首席承保，每个项目经验得1分；</w:t>
            </w:r>
          </w:p>
          <w:p>
            <w:pPr>
              <w:rPr>
                <w:szCs w:val="21"/>
              </w:rPr>
            </w:pPr>
            <w:r>
              <w:rPr>
                <w:szCs w:val="21"/>
              </w:rPr>
              <w:t>2）仅参与共保：每个项目经验得0.5分；</w:t>
            </w:r>
          </w:p>
          <w:p>
            <w:pPr>
              <w:rPr>
                <w:szCs w:val="21"/>
                <w:highlight w:val="yellow"/>
              </w:rPr>
            </w:pPr>
            <w:r>
              <w:rPr>
                <w:szCs w:val="21"/>
              </w:rPr>
              <w:t>注：一个</w:t>
            </w:r>
            <w:r>
              <w:rPr>
                <w:rFonts w:hint="eastAsia"/>
                <w:szCs w:val="21"/>
              </w:rPr>
              <w:t>集团公司</w:t>
            </w:r>
            <w:r>
              <w:rPr>
                <w:szCs w:val="21"/>
              </w:rPr>
              <w:t>项目所属不同</w:t>
            </w:r>
            <w:r>
              <w:rPr>
                <w:rFonts w:hint="eastAsia"/>
                <w:szCs w:val="21"/>
              </w:rPr>
              <w:t>子分公司</w:t>
            </w:r>
            <w:r>
              <w:rPr>
                <w:szCs w:val="21"/>
              </w:rPr>
              <w:t>的承保视为一个项目，按合计金额计算合同额；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4" w:type="dxa"/>
            <w:vMerge w:val="continue"/>
            <w:shd w:val="clear" w:color="auto" w:fill="D9D9D9"/>
            <w:vAlign w:val="center"/>
          </w:tcPr>
          <w:p>
            <w:pPr>
              <w:jc w:val="center"/>
              <w:rPr>
                <w:szCs w:val="21"/>
              </w:rPr>
            </w:pPr>
          </w:p>
        </w:tc>
        <w:tc>
          <w:tcPr>
            <w:tcW w:w="1477" w:type="dxa"/>
            <w:shd w:val="clear" w:color="auto" w:fill="D9D9D9"/>
            <w:vAlign w:val="center"/>
          </w:tcPr>
          <w:p>
            <w:pPr>
              <w:jc w:val="center"/>
              <w:rPr>
                <w:szCs w:val="21"/>
              </w:rPr>
            </w:pPr>
            <w:r>
              <w:rPr>
                <w:szCs w:val="21"/>
              </w:rPr>
              <w:t>项目理赔经验</w:t>
            </w:r>
          </w:p>
        </w:tc>
        <w:tc>
          <w:tcPr>
            <w:tcW w:w="878" w:type="dxa"/>
            <w:vAlign w:val="center"/>
          </w:tcPr>
          <w:p>
            <w:pPr>
              <w:jc w:val="center"/>
              <w:rPr>
                <w:szCs w:val="21"/>
              </w:rPr>
            </w:pPr>
            <w:r>
              <w:rPr>
                <w:rFonts w:hint="eastAsia"/>
                <w:szCs w:val="21"/>
              </w:rPr>
              <w:t>4</w:t>
            </w:r>
          </w:p>
        </w:tc>
        <w:tc>
          <w:tcPr>
            <w:tcW w:w="4860" w:type="dxa"/>
            <w:vAlign w:val="center"/>
          </w:tcPr>
          <w:p>
            <w:pPr>
              <w:rPr>
                <w:szCs w:val="21"/>
              </w:rPr>
            </w:pPr>
            <w:r>
              <w:rPr>
                <w:rFonts w:hint="eastAsia"/>
                <w:szCs w:val="21"/>
              </w:rPr>
              <w:t>近三年</w:t>
            </w:r>
            <w:r>
              <w:rPr>
                <w:szCs w:val="21"/>
              </w:rPr>
              <w:t>的同类</w:t>
            </w:r>
            <w:r>
              <w:rPr>
                <w:rFonts w:hint="eastAsia"/>
                <w:szCs w:val="21"/>
              </w:rPr>
              <w:t>财产保险</w:t>
            </w:r>
            <w:r>
              <w:rPr>
                <w:szCs w:val="21"/>
              </w:rPr>
              <w:t>项目的理赔经验，最高分不超过</w:t>
            </w:r>
            <w:r>
              <w:rPr>
                <w:rFonts w:hint="eastAsia"/>
                <w:szCs w:val="21"/>
              </w:rPr>
              <w:t>4</w:t>
            </w:r>
            <w:r>
              <w:rPr>
                <w:szCs w:val="21"/>
              </w:rPr>
              <w:t>分：</w:t>
            </w:r>
          </w:p>
          <w:p>
            <w:pPr>
              <w:rPr>
                <w:szCs w:val="21"/>
              </w:rPr>
            </w:pPr>
            <w:r>
              <w:rPr>
                <w:szCs w:val="21"/>
              </w:rPr>
              <w:t>1）独家承保或首席承保，每个项目经验得1分；</w:t>
            </w:r>
          </w:p>
          <w:p>
            <w:pPr>
              <w:rPr>
                <w:szCs w:val="21"/>
              </w:rPr>
            </w:pPr>
            <w:r>
              <w:rPr>
                <w:szCs w:val="21"/>
              </w:rPr>
              <w:t>2）仅参与共保：每个项目经验得0.5分；</w:t>
            </w:r>
          </w:p>
          <w:p>
            <w:pPr>
              <w:rPr>
                <w:szCs w:val="21"/>
                <w:highlight w:val="yellow"/>
              </w:rPr>
            </w:pPr>
            <w:r>
              <w:rPr>
                <w:szCs w:val="21"/>
              </w:rPr>
              <w:t>注：一个</w:t>
            </w:r>
            <w:r>
              <w:rPr>
                <w:rFonts w:hint="eastAsia"/>
                <w:szCs w:val="21"/>
              </w:rPr>
              <w:t>集团公司</w:t>
            </w:r>
            <w:r>
              <w:rPr>
                <w:szCs w:val="21"/>
              </w:rPr>
              <w:t>项目所属不同</w:t>
            </w:r>
            <w:r>
              <w:rPr>
                <w:rFonts w:hint="eastAsia"/>
                <w:szCs w:val="21"/>
              </w:rPr>
              <w:t>子分公司</w:t>
            </w:r>
            <w:r>
              <w:rPr>
                <w:szCs w:val="21"/>
              </w:rPr>
              <w:t>的承保视为一个项目，按合计金额计算合同额；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4" w:type="dxa"/>
            <w:vMerge w:val="restart"/>
            <w:shd w:val="clear" w:color="auto" w:fill="D9D9D9"/>
            <w:vAlign w:val="center"/>
          </w:tcPr>
          <w:p>
            <w:pPr>
              <w:rPr>
                <w:szCs w:val="21"/>
              </w:rPr>
            </w:pPr>
            <w:r>
              <w:rPr>
                <w:szCs w:val="21"/>
              </w:rPr>
              <w:t>保险服务</w:t>
            </w:r>
          </w:p>
          <w:p>
            <w:pPr>
              <w:jc w:val="center"/>
              <w:rPr>
                <w:szCs w:val="21"/>
              </w:rPr>
            </w:pPr>
            <w:r>
              <w:rPr>
                <w:szCs w:val="21"/>
              </w:rPr>
              <w:t>（</w:t>
            </w:r>
            <w:r>
              <w:rPr>
                <w:rFonts w:hint="eastAsia"/>
                <w:szCs w:val="21"/>
              </w:rPr>
              <w:t>10</w:t>
            </w:r>
            <w:r>
              <w:rPr>
                <w:szCs w:val="21"/>
              </w:rPr>
              <w:t>分）</w:t>
            </w:r>
          </w:p>
        </w:tc>
        <w:tc>
          <w:tcPr>
            <w:tcW w:w="1477" w:type="dxa"/>
            <w:shd w:val="clear" w:color="auto" w:fill="D9D9D9"/>
            <w:vAlign w:val="center"/>
          </w:tcPr>
          <w:p>
            <w:pPr>
              <w:jc w:val="center"/>
              <w:rPr>
                <w:szCs w:val="21"/>
              </w:rPr>
            </w:pPr>
            <w:r>
              <w:rPr>
                <w:szCs w:val="21"/>
              </w:rPr>
              <w:t>服务小组</w:t>
            </w:r>
          </w:p>
        </w:tc>
        <w:tc>
          <w:tcPr>
            <w:tcW w:w="878" w:type="dxa"/>
            <w:vAlign w:val="center"/>
          </w:tcPr>
          <w:p>
            <w:pPr>
              <w:jc w:val="center"/>
              <w:rPr>
                <w:szCs w:val="21"/>
              </w:rPr>
            </w:pPr>
            <w:r>
              <w:rPr>
                <w:rFonts w:hint="eastAsia"/>
                <w:szCs w:val="21"/>
              </w:rPr>
              <w:t>3</w:t>
            </w:r>
          </w:p>
        </w:tc>
        <w:tc>
          <w:tcPr>
            <w:tcW w:w="4860" w:type="dxa"/>
            <w:vAlign w:val="center"/>
          </w:tcPr>
          <w:p>
            <w:pPr>
              <w:rPr>
                <w:szCs w:val="21"/>
              </w:rPr>
            </w:pPr>
            <w:r>
              <w:rPr>
                <w:rFonts w:hint="eastAsia"/>
                <w:szCs w:val="21"/>
              </w:rPr>
              <w:t>根据服务小组团队人员的专业能力、服务经验、在投标人单位的稳定性等因素进行评分，按优（得3分）、良（得2分）、差（得1分）打分。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94" w:type="dxa"/>
            <w:vMerge w:val="continue"/>
            <w:shd w:val="clear" w:color="auto" w:fill="D9D9D9"/>
            <w:vAlign w:val="center"/>
          </w:tcPr>
          <w:p>
            <w:pPr>
              <w:rPr>
                <w:szCs w:val="21"/>
              </w:rPr>
            </w:pPr>
          </w:p>
        </w:tc>
        <w:tc>
          <w:tcPr>
            <w:tcW w:w="1477" w:type="dxa"/>
            <w:shd w:val="clear" w:color="auto" w:fill="D9D9D9"/>
            <w:vAlign w:val="center"/>
          </w:tcPr>
          <w:p>
            <w:pPr>
              <w:rPr>
                <w:szCs w:val="21"/>
              </w:rPr>
            </w:pPr>
            <w:r>
              <w:rPr>
                <w:rFonts w:hint="eastAsia"/>
                <w:szCs w:val="21"/>
              </w:rPr>
              <w:t>理赔处理承诺</w:t>
            </w:r>
          </w:p>
        </w:tc>
        <w:tc>
          <w:tcPr>
            <w:tcW w:w="878" w:type="dxa"/>
            <w:vAlign w:val="center"/>
          </w:tcPr>
          <w:p>
            <w:pPr>
              <w:jc w:val="center"/>
              <w:rPr>
                <w:szCs w:val="21"/>
              </w:rPr>
            </w:pPr>
            <w:r>
              <w:rPr>
                <w:rFonts w:hint="eastAsia"/>
                <w:szCs w:val="21"/>
              </w:rPr>
              <w:t>4</w:t>
            </w:r>
          </w:p>
        </w:tc>
        <w:tc>
          <w:tcPr>
            <w:tcW w:w="4860" w:type="dxa"/>
            <w:vAlign w:val="center"/>
          </w:tcPr>
          <w:p>
            <w:pPr>
              <w:rPr>
                <w:szCs w:val="21"/>
              </w:rPr>
            </w:pPr>
            <w:r>
              <w:rPr>
                <w:rFonts w:hint="eastAsia"/>
                <w:szCs w:val="21"/>
              </w:rPr>
              <w:t>根据理赔处理承诺（4分），分为优、良、差三等：</w:t>
            </w:r>
          </w:p>
          <w:p>
            <w:pPr>
              <w:rPr>
                <w:szCs w:val="21"/>
              </w:rPr>
            </w:pPr>
            <w:r>
              <w:rPr>
                <w:rFonts w:hint="eastAsia"/>
                <w:szCs w:val="21"/>
              </w:rPr>
              <w:t>优：提供明确的查勘时限，单证审核理算时；快速赔款支付的承诺,理赔共保责任等服务承诺，描述清晰完整，对招标单位较为有利，针对性强，切实可行，得3-4分；</w:t>
            </w:r>
          </w:p>
          <w:p>
            <w:pPr>
              <w:rPr>
                <w:szCs w:val="21"/>
              </w:rPr>
            </w:pPr>
            <w:r>
              <w:rPr>
                <w:rFonts w:hint="eastAsia"/>
                <w:szCs w:val="21"/>
              </w:rPr>
              <w:t>良：提供查勘时限，单证审核理算时限，快速赔款支付的承诺,理赔共保责任等服务承诺，内容较充足，具备一定可行性，得2-3分；</w:t>
            </w:r>
          </w:p>
          <w:p>
            <w:pPr>
              <w:rPr>
                <w:szCs w:val="21"/>
              </w:rPr>
            </w:pPr>
            <w:r>
              <w:rPr>
                <w:rFonts w:hint="eastAsia"/>
                <w:szCs w:val="21"/>
              </w:rPr>
              <w:t>差：理赔服务承诺内容不明确，针对性不强，得0-1分。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094" w:type="dxa"/>
            <w:vMerge w:val="continue"/>
            <w:shd w:val="clear" w:color="auto" w:fill="D9D9D9"/>
            <w:vAlign w:val="center"/>
          </w:tcPr>
          <w:p>
            <w:pPr>
              <w:rPr>
                <w:szCs w:val="21"/>
              </w:rPr>
            </w:pPr>
          </w:p>
        </w:tc>
        <w:tc>
          <w:tcPr>
            <w:tcW w:w="1477" w:type="dxa"/>
            <w:shd w:val="clear" w:color="auto" w:fill="D9D9D9"/>
            <w:vAlign w:val="center"/>
          </w:tcPr>
          <w:p>
            <w:pPr>
              <w:jc w:val="center"/>
              <w:rPr>
                <w:szCs w:val="21"/>
              </w:rPr>
            </w:pPr>
            <w:r>
              <w:rPr>
                <w:szCs w:val="21"/>
              </w:rPr>
              <w:t>培训及防灾防损服务</w:t>
            </w:r>
            <w:r>
              <w:rPr>
                <w:rFonts w:hint="eastAsia"/>
                <w:szCs w:val="21"/>
              </w:rPr>
              <w:t>等增值服务</w:t>
            </w:r>
          </w:p>
        </w:tc>
        <w:tc>
          <w:tcPr>
            <w:tcW w:w="878" w:type="dxa"/>
            <w:vAlign w:val="center"/>
          </w:tcPr>
          <w:p>
            <w:pPr>
              <w:jc w:val="center"/>
              <w:rPr>
                <w:szCs w:val="21"/>
              </w:rPr>
            </w:pPr>
            <w:r>
              <w:rPr>
                <w:rFonts w:hint="eastAsia"/>
                <w:szCs w:val="21"/>
              </w:rPr>
              <w:t>3</w:t>
            </w:r>
          </w:p>
        </w:tc>
        <w:tc>
          <w:tcPr>
            <w:tcW w:w="4860" w:type="dxa"/>
            <w:vAlign w:val="center"/>
          </w:tcPr>
          <w:p>
            <w:pPr>
              <w:rPr>
                <w:szCs w:val="21"/>
              </w:rPr>
            </w:pPr>
            <w:r>
              <w:rPr>
                <w:szCs w:val="21"/>
              </w:rPr>
              <w:t>计划详细明确且内容丰富的，得</w:t>
            </w:r>
            <w:r>
              <w:rPr>
                <w:rFonts w:hint="eastAsia"/>
                <w:szCs w:val="21"/>
              </w:rPr>
              <w:t>3</w:t>
            </w:r>
            <w:r>
              <w:rPr>
                <w:szCs w:val="21"/>
              </w:rPr>
              <w:t>分；</w:t>
            </w:r>
          </w:p>
          <w:p>
            <w:pPr>
              <w:rPr>
                <w:szCs w:val="21"/>
              </w:rPr>
            </w:pPr>
            <w:r>
              <w:rPr>
                <w:szCs w:val="21"/>
              </w:rPr>
              <w:t>计划明确但内容一般的，得</w:t>
            </w:r>
            <w:r>
              <w:rPr>
                <w:rFonts w:hint="eastAsia"/>
                <w:szCs w:val="21"/>
              </w:rPr>
              <w:t>2</w:t>
            </w:r>
            <w:r>
              <w:rPr>
                <w:szCs w:val="21"/>
              </w:rPr>
              <w:t>分；</w:t>
            </w:r>
          </w:p>
          <w:p>
            <w:pPr>
              <w:rPr>
                <w:szCs w:val="21"/>
              </w:rPr>
            </w:pPr>
            <w:r>
              <w:rPr>
                <w:szCs w:val="21"/>
              </w:rPr>
              <w:t>仅对服务进行简单说明或未说明者，得</w:t>
            </w:r>
            <w:r>
              <w:rPr>
                <w:rFonts w:hint="eastAsia"/>
                <w:szCs w:val="21"/>
              </w:rPr>
              <w:t>1</w:t>
            </w:r>
            <w:r>
              <w:rPr>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71" w:type="dxa"/>
            <w:gridSpan w:val="2"/>
            <w:shd w:val="clear" w:color="auto" w:fill="D9D9D9"/>
            <w:vAlign w:val="center"/>
          </w:tcPr>
          <w:p>
            <w:pPr>
              <w:jc w:val="center"/>
              <w:rPr>
                <w:szCs w:val="21"/>
              </w:rPr>
            </w:pPr>
            <w:r>
              <w:rPr>
                <w:szCs w:val="21"/>
              </w:rPr>
              <w:t>总分</w:t>
            </w:r>
          </w:p>
        </w:tc>
        <w:tc>
          <w:tcPr>
            <w:tcW w:w="878" w:type="dxa"/>
            <w:vAlign w:val="center"/>
          </w:tcPr>
          <w:p>
            <w:pPr>
              <w:jc w:val="center"/>
              <w:rPr>
                <w:szCs w:val="21"/>
              </w:rPr>
            </w:pPr>
            <w:r>
              <w:rPr>
                <w:szCs w:val="21"/>
              </w:rPr>
              <w:t>100</w:t>
            </w:r>
          </w:p>
        </w:tc>
        <w:tc>
          <w:tcPr>
            <w:tcW w:w="4860" w:type="dxa"/>
            <w:vAlign w:val="center"/>
          </w:tcPr>
          <w:p>
            <w:pPr>
              <w:jc w:val="center"/>
              <w:rPr>
                <w:szCs w:val="21"/>
              </w:rPr>
            </w:pPr>
            <w:r>
              <w:rPr>
                <w:szCs w:val="21"/>
              </w:rPr>
              <w:t>—</w:t>
            </w:r>
            <w:r>
              <w:rPr>
                <w:rFonts w:hint="eastAsia"/>
                <w:szCs w:val="21"/>
              </w:rPr>
              <w:t xml:space="preserve"> </w:t>
            </w:r>
            <w:r>
              <w:rPr>
                <w:szCs w:val="21"/>
              </w:rPr>
              <w:t>—</w:t>
            </w:r>
          </w:p>
        </w:tc>
      </w:tr>
    </w:tbl>
    <w:p>
      <w:pPr>
        <w:spacing w:before="156" w:beforeLines="50" w:line="360" w:lineRule="auto"/>
        <w:ind w:firstLine="480" w:firstLineChars="200"/>
        <w:rPr>
          <w:bCs/>
          <w:sz w:val="24"/>
        </w:rPr>
      </w:pPr>
      <w:r>
        <w:rPr>
          <w:bCs/>
          <w:sz w:val="24"/>
        </w:rPr>
        <w:t>备注：为防止压价抢标和抬价串标，并确保中标人能保质保量完成本项目的保险服务，此次招标设置</w:t>
      </w:r>
      <w:r>
        <w:rPr>
          <w:rFonts w:hint="eastAsia"/>
          <w:bCs/>
          <w:sz w:val="24"/>
        </w:rPr>
        <w:t>评分</w:t>
      </w:r>
      <w:r>
        <w:rPr>
          <w:bCs/>
          <w:sz w:val="24"/>
        </w:rPr>
        <w:t>基准价。</w:t>
      </w:r>
    </w:p>
    <w:p>
      <w:pPr>
        <w:spacing w:before="156" w:beforeLines="50" w:line="360" w:lineRule="auto"/>
        <w:ind w:firstLine="480" w:firstLineChars="200"/>
        <w:jc w:val="left"/>
        <w:rPr>
          <w:bCs/>
          <w:sz w:val="24"/>
        </w:rPr>
      </w:pPr>
      <w:r>
        <w:rPr>
          <w:bCs/>
          <w:sz w:val="24"/>
        </w:rPr>
        <w:t>评分基准价=有效报价中投保人中的最低价</w:t>
      </w:r>
    </w:p>
    <w:p>
      <w:pPr>
        <w:pStyle w:val="23"/>
        <w:ind w:firstLine="480" w:firstLineChars="200"/>
      </w:pPr>
      <w:r>
        <w:rPr>
          <w:rFonts w:hint="eastAsia"/>
        </w:rPr>
        <w:t>说明：此处的“有效报价”为经评委审核满足本次投标要求的投标人财产综合险+机器损坏险的合计报价。</w:t>
      </w:r>
    </w:p>
    <w:p>
      <w:pPr>
        <w:spacing w:before="156" w:beforeLines="50" w:line="360" w:lineRule="auto"/>
        <w:ind w:firstLine="480" w:firstLineChars="200"/>
        <w:rPr>
          <w:sz w:val="24"/>
        </w:rPr>
      </w:pPr>
      <w:r>
        <w:rPr>
          <w:sz w:val="24"/>
        </w:rPr>
        <w:t>4.2.3每一投标人的最终得分是所有评标委员会给其评分的算术平均值，然后按投标人最终得分从高到低的顺序进行排序，并作为确定预中标人的基本依据。</w:t>
      </w:r>
    </w:p>
    <w:p>
      <w:pPr>
        <w:spacing w:line="360" w:lineRule="auto"/>
        <w:ind w:firstLine="480" w:firstLineChars="200"/>
        <w:rPr>
          <w:sz w:val="24"/>
        </w:rPr>
      </w:pPr>
      <w:r>
        <w:rPr>
          <w:sz w:val="24"/>
        </w:rPr>
        <w:t>4.2.4如投标报价出现以下情况之一时，评标委员会应当限期要求该投标人做出书面说明并提供相关证明材料，若该投标人未在规定期限内做出解释、或所做解释不合理、或不能提供相关证明材料的，经评标委员会取得一致意见后，可拒绝该投标：</w:t>
      </w:r>
    </w:p>
    <w:p>
      <w:pPr>
        <w:spacing w:line="360" w:lineRule="auto"/>
        <w:ind w:firstLine="480" w:firstLineChars="200"/>
        <w:rPr>
          <w:sz w:val="24"/>
        </w:rPr>
      </w:pPr>
      <w:r>
        <w:rPr>
          <w:sz w:val="24"/>
        </w:rPr>
        <w:t>a.投标人的报价明显低于其他投标报价，使得其投标报价可能不符合保险监管部门规定的；</w:t>
      </w:r>
    </w:p>
    <w:p>
      <w:pPr>
        <w:spacing w:line="360" w:lineRule="auto"/>
        <w:ind w:firstLine="480" w:firstLineChars="200"/>
        <w:rPr>
          <w:sz w:val="24"/>
        </w:rPr>
      </w:pPr>
      <w:r>
        <w:rPr>
          <w:sz w:val="24"/>
        </w:rPr>
        <w:t>b.评标委员会一致认为某投标人的报价条件明显不合理，有降低服务质量、不能诚信履行合同的可能性的。</w:t>
      </w:r>
    </w:p>
    <w:p>
      <w:pPr>
        <w:spacing w:line="360" w:lineRule="auto"/>
        <w:ind w:firstLine="480" w:firstLineChars="200"/>
        <w:rPr>
          <w:sz w:val="24"/>
        </w:rPr>
      </w:pPr>
      <w:r>
        <w:rPr>
          <w:sz w:val="24"/>
        </w:rPr>
        <w:t>4.2.5如评标委员会认为必要，可对入围的投标人进行最终审查。最终审查的内容是对入围投标人履行合同的能力（包括财务状况、资格、信誉等）以及招标人认为有必要了解的其他问题。</w:t>
      </w:r>
    </w:p>
    <w:p>
      <w:pPr>
        <w:spacing w:line="360" w:lineRule="auto"/>
        <w:ind w:firstLine="480" w:firstLineChars="200"/>
        <w:rPr>
          <w:sz w:val="24"/>
        </w:rPr>
      </w:pPr>
    </w:p>
    <w:p>
      <w:pPr>
        <w:spacing w:line="360" w:lineRule="auto"/>
        <w:ind w:firstLine="482" w:firstLineChars="200"/>
        <w:rPr>
          <w:b/>
          <w:bCs/>
          <w:sz w:val="24"/>
        </w:rPr>
      </w:pPr>
      <w:r>
        <w:rPr>
          <w:b/>
          <w:bCs/>
          <w:sz w:val="24"/>
        </w:rPr>
        <w:t>4.3编写评标报告</w:t>
      </w:r>
    </w:p>
    <w:p>
      <w:pPr>
        <w:spacing w:line="360" w:lineRule="auto"/>
        <w:ind w:firstLine="480" w:firstLineChars="200"/>
        <w:rPr>
          <w:sz w:val="24"/>
        </w:rPr>
      </w:pPr>
      <w:r>
        <w:rPr>
          <w:sz w:val="24"/>
        </w:rPr>
        <w:t>评标工作小组应编写书面的评标报告，并由各评委签字确认提交给招标人。评标报告应如实记载以下内容：</w:t>
      </w:r>
    </w:p>
    <w:p>
      <w:pPr>
        <w:numPr>
          <w:ilvl w:val="0"/>
          <w:numId w:val="10"/>
        </w:numPr>
        <w:spacing w:line="360" w:lineRule="auto"/>
        <w:ind w:left="0" w:firstLine="6"/>
        <w:rPr>
          <w:sz w:val="24"/>
        </w:rPr>
      </w:pPr>
      <w:r>
        <w:rPr>
          <w:sz w:val="24"/>
        </w:rPr>
        <w:t>招标项目概况；</w:t>
      </w:r>
    </w:p>
    <w:p>
      <w:pPr>
        <w:numPr>
          <w:ilvl w:val="0"/>
          <w:numId w:val="10"/>
        </w:numPr>
        <w:spacing w:line="360" w:lineRule="auto"/>
        <w:ind w:left="0" w:firstLine="6"/>
        <w:rPr>
          <w:sz w:val="24"/>
        </w:rPr>
      </w:pPr>
      <w:r>
        <w:rPr>
          <w:sz w:val="24"/>
        </w:rPr>
        <w:t>保险采购过程；</w:t>
      </w:r>
    </w:p>
    <w:p>
      <w:pPr>
        <w:numPr>
          <w:ilvl w:val="0"/>
          <w:numId w:val="10"/>
        </w:numPr>
        <w:spacing w:line="360" w:lineRule="auto"/>
        <w:ind w:left="0" w:firstLine="6"/>
        <w:rPr>
          <w:sz w:val="24"/>
        </w:rPr>
      </w:pPr>
      <w:r>
        <w:rPr>
          <w:sz w:val="24"/>
        </w:rPr>
        <w:t>开标及评标过程；</w:t>
      </w:r>
    </w:p>
    <w:p>
      <w:pPr>
        <w:numPr>
          <w:ilvl w:val="0"/>
          <w:numId w:val="10"/>
        </w:numPr>
        <w:spacing w:line="360" w:lineRule="auto"/>
        <w:ind w:left="0" w:firstLine="6"/>
        <w:rPr>
          <w:sz w:val="24"/>
        </w:rPr>
      </w:pPr>
      <w:r>
        <w:rPr>
          <w:sz w:val="24"/>
        </w:rPr>
        <w:t>评标结果；</w:t>
      </w:r>
    </w:p>
    <w:p>
      <w:pPr>
        <w:numPr>
          <w:ilvl w:val="0"/>
          <w:numId w:val="10"/>
        </w:numPr>
        <w:spacing w:line="360" w:lineRule="auto"/>
        <w:ind w:left="0" w:firstLine="6"/>
        <w:rPr>
          <w:sz w:val="24"/>
        </w:rPr>
      </w:pPr>
      <w:r>
        <w:rPr>
          <w:sz w:val="24"/>
        </w:rPr>
        <w:t>推荐谈判候选人（候选人应满足具备独家承保或首席承保的能力和意愿的基本条件）；</w:t>
      </w:r>
    </w:p>
    <w:p>
      <w:pPr>
        <w:numPr>
          <w:ilvl w:val="0"/>
          <w:numId w:val="10"/>
        </w:numPr>
        <w:spacing w:line="360" w:lineRule="auto"/>
        <w:ind w:left="0" w:firstLine="6"/>
      </w:pPr>
      <w:r>
        <w:rPr>
          <w:sz w:val="24"/>
        </w:rPr>
        <w:t>其他内容及附件。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華康中楷體">
    <w:altName w:val="Microsoft JhengHei"/>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758"/>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90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90</w:t>
                    </w:r>
                    <w:r>
                      <w:t xml:space="preserve"> 页</w:t>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fldChar w:fldCharType="begin"/>
    </w:r>
    <w:r>
      <w:instrText xml:space="preserve"> PAGE   \* MERGEFORMAT </w:instrText>
    </w:r>
    <w:r>
      <w:fldChar w:fldCharType="separate"/>
    </w:r>
    <w:r>
      <w:rPr>
        <w:lang w:val="zh-CN"/>
      </w:rPr>
      <w:t>6</w:t>
    </w:r>
    <w:r>
      <w:rPr>
        <w:lang w:val="zh-CN"/>
      </w:rPr>
      <w:fldChar w:fldCharType="end"/>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fldChar w:fldCharType="begin"/>
                          </w:r>
                          <w:r>
                            <w:instrText xml:space="preserve"> PAGE  \* MERGEFORMAT </w:instrText>
                          </w:r>
                          <w:r>
                            <w:fldChar w:fldCharType="separate"/>
                          </w:r>
                          <w:r>
                            <w:t>86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7"/>
      </w:pBdr>
      <w:jc w:val="center"/>
      <w:rPr>
        <w:rFonts w:eastAsia="仿宋_GB2312"/>
        <w:b/>
        <w:bCs/>
        <w:i/>
        <w:iCs/>
        <w:szCs w:val="18"/>
      </w:rPr>
    </w:pPr>
    <w:r>
      <w:rPr>
        <w:rFonts w:hint="eastAsia" w:eastAsia="仿宋_GB2312"/>
        <w:b/>
        <w:bCs/>
        <w:i/>
        <w:iCs/>
        <w:szCs w:val="18"/>
      </w:rPr>
      <w:t>江苏大生集团有限公司</w:t>
    </w:r>
    <w:r>
      <w:rPr>
        <w:rFonts w:hint="eastAsia" w:eastAsia="仿宋_GB2312"/>
        <w:b/>
        <w:bCs/>
        <w:i/>
        <w:iCs/>
        <w:szCs w:val="18"/>
        <w:lang w:val="en-US" w:eastAsia="zh-CN"/>
      </w:rPr>
      <w:t>部分子公司2023年度</w:t>
    </w:r>
    <w:r>
      <w:rPr>
        <w:rFonts w:hint="eastAsia" w:eastAsia="仿宋_GB2312"/>
        <w:b/>
        <w:bCs/>
        <w:i/>
        <w:iCs/>
        <w:szCs w:val="18"/>
      </w:rPr>
      <w:t>财产保险项目保险招标文件</w:t>
    </w:r>
  </w:p>
  <w:p>
    <w:pPr>
      <w:jc w:val="right"/>
    </w:pP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4878070"/>
          <wp:effectExtent l="0" t="0" r="13970" b="13970"/>
          <wp:wrapNone/>
          <wp:docPr id="2" name="WordPictureWatermark42553" descr="微信图片_2021081915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2553" descr="微信图片_20210819154632"/>
                  <pic:cNvPicPr>
                    <a:picLocks noChangeAspect="1"/>
                  </pic:cNvPicPr>
                </pic:nvPicPr>
                <pic:blipFill>
                  <a:blip r:embed="rId1">
                    <a:lum bright="69998" contrast="-70001"/>
                  </a:blip>
                  <a:stretch>
                    <a:fillRect/>
                  </a:stretch>
                </pic:blipFill>
                <pic:spPr>
                  <a:xfrm>
                    <a:off x="0" y="0"/>
                    <a:ext cx="5274310" cy="4878070"/>
                  </a:xfrm>
                  <a:prstGeom prst="rect">
                    <a:avLst/>
                  </a:prstGeom>
                  <a:noFill/>
                  <a:ln>
                    <a:noFill/>
                  </a:ln>
                </pic:spPr>
              </pic:pic>
            </a:graphicData>
          </a:graphic>
        </wp:anchor>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7"/>
      </w:pBdr>
      <w:jc w:val="right"/>
      <w:rPr>
        <w:rFonts w:eastAsia="仿宋_GB2312"/>
        <w:b/>
        <w:bCs/>
        <w:i/>
        <w:iCs/>
        <w:szCs w:val="18"/>
      </w:rPr>
    </w:pPr>
    <w:r>
      <w:rPr>
        <w:rFonts w:hint="eastAsia" w:eastAsia="仿宋_GB2312"/>
        <w:b/>
        <w:bCs/>
        <w:i/>
        <w:iCs/>
        <w:szCs w:val="18"/>
      </w:rPr>
      <w:t>江苏大生集团财产保险项目保险招标文件</w:t>
    </w:r>
  </w:p>
  <w:p>
    <w:pPr>
      <w:pStyle w:val="17"/>
    </w:pPr>
    <w: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4878070"/>
          <wp:effectExtent l="0" t="0" r="13970" b="13970"/>
          <wp:wrapNone/>
          <wp:docPr id="3" name="WordPictureWatermark42553" descr="微信图片_2021081915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2553" descr="微信图片_20210819154632"/>
                  <pic:cNvPicPr>
                    <a:picLocks noChangeAspect="1"/>
                  </pic:cNvPicPr>
                </pic:nvPicPr>
                <pic:blipFill>
                  <a:blip r:embed="rId1">
                    <a:lum bright="69998" contrast="-70001"/>
                  </a:blip>
                  <a:stretch>
                    <a:fillRect/>
                  </a:stretch>
                </pic:blipFill>
                <pic:spPr>
                  <a:xfrm>
                    <a:off x="0" y="0"/>
                    <a:ext cx="5274310" cy="48780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1402"/>
        </w:tabs>
        <w:ind w:left="1402"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11"/>
    <w:multiLevelType w:val="multilevel"/>
    <w:tmpl w:val="00000011"/>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17"/>
    <w:multiLevelType w:val="multilevel"/>
    <w:tmpl w:val="00000017"/>
    <w:lvl w:ilvl="0" w:tentative="0">
      <w:start w:val="1"/>
      <w:numFmt w:val="japaneseCounting"/>
      <w:lvlText w:val="（%1）"/>
      <w:lvlJc w:val="left"/>
      <w:pPr>
        <w:ind w:left="1680" w:hanging="120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1A"/>
    <w:multiLevelType w:val="multilevel"/>
    <w:tmpl w:val="0000001A"/>
    <w:lvl w:ilvl="0" w:tentative="0">
      <w:start w:val="1"/>
      <w:numFmt w:val="japaneseCounting"/>
      <w:lvlText w:val="（%1）"/>
      <w:lvlJc w:val="left"/>
      <w:pPr>
        <w:ind w:left="1680" w:hanging="120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0077321"/>
    <w:multiLevelType w:val="multilevel"/>
    <w:tmpl w:val="200773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386AE2"/>
    <w:multiLevelType w:val="multilevel"/>
    <w:tmpl w:val="3C386A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2F006A"/>
    <w:multiLevelType w:val="multilevel"/>
    <w:tmpl w:val="482F006A"/>
    <w:lvl w:ilvl="0" w:tentative="0">
      <w:start w:val="1"/>
      <w:numFmt w:val="upperLetter"/>
      <w:lvlText w:val="%1."/>
      <w:lvlJc w:val="left"/>
      <w:pPr>
        <w:tabs>
          <w:tab w:val="left" w:pos="900"/>
        </w:tabs>
        <w:ind w:left="90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pStyle w:val="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7362BF7"/>
    <w:multiLevelType w:val="singleLevel"/>
    <w:tmpl w:val="57362BF7"/>
    <w:lvl w:ilvl="0" w:tentative="0">
      <w:start w:val="1"/>
      <w:numFmt w:val="decimal"/>
      <w:lvlText w:val="%1."/>
      <w:lvlJc w:val="left"/>
      <w:pPr>
        <w:tabs>
          <w:tab w:val="left" w:pos="312"/>
        </w:tabs>
      </w:pPr>
    </w:lvl>
  </w:abstractNum>
  <w:abstractNum w:abstractNumId="8">
    <w:nsid w:val="5ABC7C92"/>
    <w:multiLevelType w:val="singleLevel"/>
    <w:tmpl w:val="5ABC7C92"/>
    <w:lvl w:ilvl="0" w:tentative="0">
      <w:start w:val="2"/>
      <w:numFmt w:val="decimal"/>
      <w:suff w:val="nothing"/>
      <w:lvlText w:val="%1."/>
      <w:lvlJc w:val="left"/>
    </w:lvl>
  </w:abstractNum>
  <w:abstractNum w:abstractNumId="9">
    <w:nsid w:val="607457D3"/>
    <w:multiLevelType w:val="singleLevel"/>
    <w:tmpl w:val="607457D3"/>
    <w:lvl w:ilvl="0" w:tentative="0">
      <w:start w:val="1"/>
      <w:numFmt w:val="chineseCounting"/>
      <w:suff w:val="space"/>
      <w:lvlText w:val="第%1节"/>
      <w:lvlJc w:val="left"/>
    </w:lvl>
  </w:abstractNum>
  <w:num w:numId="1">
    <w:abstractNumId w:val="6"/>
  </w:num>
  <w:num w:numId="2">
    <w:abstractNumId w:val="0"/>
  </w:num>
  <w:num w:numId="3">
    <w:abstractNumId w:val="9"/>
  </w:num>
  <w:num w:numId="4">
    <w:abstractNumId w:val="4"/>
  </w:num>
  <w:num w:numId="5">
    <w:abstractNumId w:val="5"/>
  </w:num>
  <w:num w:numId="6">
    <w:abstractNumId w:val="8"/>
  </w:num>
  <w:num w:numId="7">
    <w:abstractNumId w:val="1"/>
  </w:num>
  <w:num w:numId="8">
    <w:abstractNumId w:val="3"/>
  </w:num>
  <w:num w:numId="9">
    <w:abstractNumId w:val="7"/>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荣 [3]">
    <w15:presenceInfo w15:providerId="None" w15:userId="张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WVhM2I4ZjA3YzgwYzdlMWQ3YzBjY2I5OTY1ZWQifQ=="/>
  </w:docVars>
  <w:rsids>
    <w:rsidRoot w:val="1B8A0BD6"/>
    <w:rsid w:val="001828A8"/>
    <w:rsid w:val="00216F4F"/>
    <w:rsid w:val="003205E5"/>
    <w:rsid w:val="0052553B"/>
    <w:rsid w:val="00606FAF"/>
    <w:rsid w:val="00653DEF"/>
    <w:rsid w:val="00784F24"/>
    <w:rsid w:val="007A082A"/>
    <w:rsid w:val="00A42DAB"/>
    <w:rsid w:val="00A564AD"/>
    <w:rsid w:val="00A86600"/>
    <w:rsid w:val="00B57BC3"/>
    <w:rsid w:val="00C00388"/>
    <w:rsid w:val="00DE28CE"/>
    <w:rsid w:val="00EA1BD3"/>
    <w:rsid w:val="00F05C1C"/>
    <w:rsid w:val="00F77147"/>
    <w:rsid w:val="025540BC"/>
    <w:rsid w:val="025E5994"/>
    <w:rsid w:val="033154AE"/>
    <w:rsid w:val="0386233E"/>
    <w:rsid w:val="04B6070F"/>
    <w:rsid w:val="04D67B0A"/>
    <w:rsid w:val="05C06986"/>
    <w:rsid w:val="0636310A"/>
    <w:rsid w:val="063D40C6"/>
    <w:rsid w:val="06A72B1A"/>
    <w:rsid w:val="090F055A"/>
    <w:rsid w:val="0CD1672F"/>
    <w:rsid w:val="0D6F74F8"/>
    <w:rsid w:val="0D7D4CFC"/>
    <w:rsid w:val="0E52510A"/>
    <w:rsid w:val="10745EFB"/>
    <w:rsid w:val="10AD5306"/>
    <w:rsid w:val="1262565D"/>
    <w:rsid w:val="12F4260A"/>
    <w:rsid w:val="13F73C56"/>
    <w:rsid w:val="147D4AA0"/>
    <w:rsid w:val="181822CA"/>
    <w:rsid w:val="192E2E2E"/>
    <w:rsid w:val="1A313417"/>
    <w:rsid w:val="1A867267"/>
    <w:rsid w:val="1B417AB0"/>
    <w:rsid w:val="1B76275C"/>
    <w:rsid w:val="1B767920"/>
    <w:rsid w:val="1B8A0BD6"/>
    <w:rsid w:val="1C60118F"/>
    <w:rsid w:val="1CF01200"/>
    <w:rsid w:val="1D7937C8"/>
    <w:rsid w:val="1DA96053"/>
    <w:rsid w:val="1F1B56CB"/>
    <w:rsid w:val="1F6713AF"/>
    <w:rsid w:val="21DC3648"/>
    <w:rsid w:val="22175618"/>
    <w:rsid w:val="22B6460E"/>
    <w:rsid w:val="241C49F4"/>
    <w:rsid w:val="24322348"/>
    <w:rsid w:val="287818F4"/>
    <w:rsid w:val="2A793165"/>
    <w:rsid w:val="2AFC6147"/>
    <w:rsid w:val="2B116231"/>
    <w:rsid w:val="2EA8719C"/>
    <w:rsid w:val="2EF53AD4"/>
    <w:rsid w:val="31C31FA3"/>
    <w:rsid w:val="323B5CA2"/>
    <w:rsid w:val="32B8254D"/>
    <w:rsid w:val="33953FD6"/>
    <w:rsid w:val="34FD5536"/>
    <w:rsid w:val="36045EB9"/>
    <w:rsid w:val="36FD7719"/>
    <w:rsid w:val="37182534"/>
    <w:rsid w:val="37767142"/>
    <w:rsid w:val="381A1D95"/>
    <w:rsid w:val="391F7940"/>
    <w:rsid w:val="39380EA8"/>
    <w:rsid w:val="3AD14ECB"/>
    <w:rsid w:val="3B2B520A"/>
    <w:rsid w:val="3B471C4E"/>
    <w:rsid w:val="3BE857CC"/>
    <w:rsid w:val="3C5B1881"/>
    <w:rsid w:val="3C6B7ACC"/>
    <w:rsid w:val="3E565037"/>
    <w:rsid w:val="3E566E61"/>
    <w:rsid w:val="3F6E13DC"/>
    <w:rsid w:val="40BA5E0B"/>
    <w:rsid w:val="414733D6"/>
    <w:rsid w:val="419D50AC"/>
    <w:rsid w:val="426D3267"/>
    <w:rsid w:val="42E70AFF"/>
    <w:rsid w:val="44743CCA"/>
    <w:rsid w:val="44AA18A3"/>
    <w:rsid w:val="47396B2F"/>
    <w:rsid w:val="47B45EAA"/>
    <w:rsid w:val="489314CF"/>
    <w:rsid w:val="48DF319A"/>
    <w:rsid w:val="499145C3"/>
    <w:rsid w:val="4B5773ED"/>
    <w:rsid w:val="4C722F71"/>
    <w:rsid w:val="4D73423D"/>
    <w:rsid w:val="4E9F5CD1"/>
    <w:rsid w:val="4F6A756E"/>
    <w:rsid w:val="506C66EA"/>
    <w:rsid w:val="512026D4"/>
    <w:rsid w:val="512244B7"/>
    <w:rsid w:val="532A518A"/>
    <w:rsid w:val="53C85B09"/>
    <w:rsid w:val="54222685"/>
    <w:rsid w:val="552C47D7"/>
    <w:rsid w:val="567A5586"/>
    <w:rsid w:val="578F06BB"/>
    <w:rsid w:val="59294778"/>
    <w:rsid w:val="5989793F"/>
    <w:rsid w:val="5B047631"/>
    <w:rsid w:val="5B825AE3"/>
    <w:rsid w:val="5BC322D0"/>
    <w:rsid w:val="5C671AE1"/>
    <w:rsid w:val="5D4725BC"/>
    <w:rsid w:val="5DD97725"/>
    <w:rsid w:val="5F5D06CB"/>
    <w:rsid w:val="60E3471C"/>
    <w:rsid w:val="62CF4061"/>
    <w:rsid w:val="66B54760"/>
    <w:rsid w:val="67586552"/>
    <w:rsid w:val="68390CBC"/>
    <w:rsid w:val="69332AB2"/>
    <w:rsid w:val="696A228F"/>
    <w:rsid w:val="69760CC5"/>
    <w:rsid w:val="69C75AC2"/>
    <w:rsid w:val="6B9A47B3"/>
    <w:rsid w:val="6C303672"/>
    <w:rsid w:val="6EAD62A3"/>
    <w:rsid w:val="6F1A1AB6"/>
    <w:rsid w:val="6F700549"/>
    <w:rsid w:val="703C5D7A"/>
    <w:rsid w:val="71AF51A0"/>
    <w:rsid w:val="72610CC7"/>
    <w:rsid w:val="72A329B6"/>
    <w:rsid w:val="72AC3A77"/>
    <w:rsid w:val="758111EB"/>
    <w:rsid w:val="75E93D09"/>
    <w:rsid w:val="76C5666E"/>
    <w:rsid w:val="77D33CDE"/>
    <w:rsid w:val="788F4D40"/>
    <w:rsid w:val="78922747"/>
    <w:rsid w:val="78C8581A"/>
    <w:rsid w:val="79633769"/>
    <w:rsid w:val="7D842307"/>
    <w:rsid w:val="7ED479F6"/>
    <w:rsid w:val="7EFF0D3B"/>
    <w:rsid w:val="7F743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6"/>
    <w:qFormat/>
    <w:uiPriority w:val="0"/>
    <w:pPr>
      <w:keepNext/>
      <w:keepLines/>
      <w:spacing w:before="260" w:after="260" w:line="413" w:lineRule="auto"/>
      <w:outlineLvl w:val="1"/>
    </w:pPr>
    <w:rPr>
      <w:rFonts w:ascii="Arial" w:hAnsi="Arial" w:eastAsia="黑体"/>
      <w:b/>
      <w:bCs/>
      <w:kern w:val="0"/>
      <w:sz w:val="32"/>
      <w:szCs w:val="32"/>
    </w:rPr>
  </w:style>
  <w:style w:type="paragraph" w:styleId="6">
    <w:name w:val="heading 3"/>
    <w:basedOn w:val="1"/>
    <w:next w:val="1"/>
    <w:link w:val="37"/>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numPr>
        <w:ilvl w:val="3"/>
        <w:numId w:val="1"/>
      </w:numPr>
      <w:adjustRightInd w:val="0"/>
      <w:spacing w:before="280" w:after="290" w:line="372" w:lineRule="auto"/>
      <w:textAlignment w:val="baseline"/>
      <w:outlineLvl w:val="3"/>
    </w:pPr>
    <w:rPr>
      <w:rFonts w:ascii="Arial" w:hAnsi="Arial" w:eastAsia="黑体"/>
      <w:b/>
      <w:kern w:val="0"/>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8">
    <w:name w:val="Normal Indent"/>
    <w:basedOn w:val="1"/>
    <w:next w:val="9"/>
    <w:qFormat/>
    <w:uiPriority w:val="0"/>
    <w:pPr>
      <w:adjustRightInd w:val="0"/>
      <w:spacing w:line="312" w:lineRule="atLeast"/>
      <w:ind w:firstLine="420"/>
      <w:textAlignment w:val="baseline"/>
    </w:pPr>
    <w:rPr>
      <w:kern w:val="0"/>
    </w:rPr>
  </w:style>
  <w:style w:type="paragraph" w:styleId="9">
    <w:name w:val="Body Text First Indent"/>
    <w:basedOn w:val="2"/>
    <w:qFormat/>
    <w:uiPriority w:val="0"/>
    <w:pPr>
      <w:tabs>
        <w:tab w:val="left" w:pos="628"/>
        <w:tab w:val="left" w:pos="1727"/>
        <w:tab w:val="left" w:pos="1884"/>
      </w:tabs>
      <w:spacing w:after="0" w:line="300" w:lineRule="auto"/>
      <w:ind w:firstLine="560" w:firstLineChars="200"/>
      <w:outlineLvl w:val="0"/>
    </w:pPr>
    <w:rPr>
      <w:rFonts w:ascii="宋体"/>
      <w:sz w:val="28"/>
      <w:szCs w:val="20"/>
    </w:rPr>
  </w:style>
  <w:style w:type="paragraph" w:styleId="10">
    <w:name w:val="annotation text"/>
    <w:basedOn w:val="1"/>
    <w:qFormat/>
    <w:uiPriority w:val="0"/>
    <w:pPr>
      <w:jc w:val="left"/>
    </w:pPr>
  </w:style>
  <w:style w:type="paragraph" w:styleId="11">
    <w:name w:val="Body Text Indent"/>
    <w:basedOn w:val="1"/>
    <w:next w:val="12"/>
    <w:qFormat/>
    <w:uiPriority w:val="0"/>
    <w:pPr>
      <w:widowControl/>
      <w:spacing w:line="360" w:lineRule="auto"/>
      <w:ind w:firstLine="600" w:firstLineChars="250"/>
      <w:jc w:val="left"/>
    </w:pPr>
    <w:rPr>
      <w:rFonts w:eastAsia="楷体_GB2312"/>
      <w:kern w:val="0"/>
      <w:sz w:val="24"/>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Body Text Indent 2"/>
    <w:basedOn w:val="1"/>
    <w:qFormat/>
    <w:uiPriority w:val="0"/>
    <w:pPr>
      <w:widowControl/>
      <w:spacing w:line="360" w:lineRule="auto"/>
      <w:ind w:firstLine="480" w:firstLineChars="200"/>
      <w:jc w:val="left"/>
    </w:pPr>
    <w:rPr>
      <w:rFonts w:eastAsia="楷体_GB2312"/>
      <w:kern w:val="0"/>
      <w:sz w:val="24"/>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Body Text Indent 3"/>
    <w:basedOn w:val="1"/>
    <w:unhideWhenUsed/>
    <w:qFormat/>
    <w:uiPriority w:val="99"/>
    <w:pPr>
      <w:spacing w:after="120"/>
      <w:ind w:left="420" w:leftChars="200"/>
    </w:pPr>
    <w:rPr>
      <w:sz w:val="16"/>
      <w:szCs w:val="16"/>
    </w:rPr>
  </w:style>
  <w:style w:type="paragraph" w:styleId="20">
    <w:name w:val="toc 2"/>
    <w:basedOn w:val="1"/>
    <w:next w:val="1"/>
    <w:qFormat/>
    <w:uiPriority w:val="0"/>
    <w:pPr>
      <w:ind w:left="420" w:leftChars="200"/>
    </w:pPr>
  </w:style>
  <w:style w:type="paragraph" w:styleId="21">
    <w:name w:val="Body Text 2"/>
    <w:basedOn w:val="1"/>
    <w:qFormat/>
    <w:uiPriority w:val="0"/>
    <w:pPr>
      <w:spacing w:line="360" w:lineRule="auto"/>
    </w:pPr>
    <w:rPr>
      <w:rFonts w:ascii="仿宋_GB2312" w:eastAsia="仿宋_GB2312"/>
      <w:sz w:val="28"/>
      <w:szCs w:val="24"/>
    </w:r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23">
    <w:name w:val="Body Text First Indent 2"/>
    <w:basedOn w:val="11"/>
    <w:next w:val="2"/>
    <w:qFormat/>
    <w:uiPriority w:val="0"/>
    <w:pPr>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paragraph" w:customStyle="1" w:styleId="28">
    <w:name w:val="Default Text"/>
    <w:basedOn w:val="1"/>
    <w:qFormat/>
    <w:uiPriority w:val="0"/>
    <w:pPr>
      <w:widowControl/>
      <w:jc w:val="left"/>
    </w:pPr>
    <w:rPr>
      <w:kern w:val="0"/>
      <w:sz w:val="24"/>
      <w:lang w:val="en-GB" w:eastAsia="en-US"/>
    </w:rPr>
  </w:style>
  <w:style w:type="paragraph" w:customStyle="1" w:styleId="29">
    <w:name w:val="k 正文"/>
    <w:basedOn w:val="1"/>
    <w:qFormat/>
    <w:uiPriority w:val="0"/>
  </w:style>
  <w:style w:type="paragraph" w:customStyle="1" w:styleId="3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1">
    <w:name w:val="列出段落1"/>
    <w:basedOn w:val="1"/>
    <w:qFormat/>
    <w:uiPriority w:val="34"/>
    <w:pPr>
      <w:ind w:firstLine="420" w:firstLineChars="200"/>
    </w:pPr>
  </w:style>
  <w:style w:type="paragraph" w:customStyle="1" w:styleId="32">
    <w:name w:val="ZH-条款内容"/>
    <w:qFormat/>
    <w:uiPriority w:val="0"/>
    <w:pPr>
      <w:widowControl w:val="0"/>
      <w:spacing w:line="360" w:lineRule="auto"/>
      <w:ind w:firstLine="200" w:firstLineChars="200"/>
    </w:pPr>
    <w:rPr>
      <w:rFonts w:ascii="Times New Roman" w:hAnsi="Times New Roman" w:eastAsia="楷体" w:cs="Times New Roman"/>
      <w:kern w:val="2"/>
      <w:sz w:val="24"/>
      <w:szCs w:val="24"/>
      <w:lang w:val="en-US" w:eastAsia="zh-CN" w:bidi="ar-SA"/>
    </w:rPr>
  </w:style>
  <w:style w:type="paragraph" w:customStyle="1" w:styleId="33">
    <w:name w:val="W正文"/>
    <w:basedOn w:val="1"/>
    <w:qFormat/>
    <w:uiPriority w:val="0"/>
    <w:pPr>
      <w:tabs>
        <w:tab w:val="left" w:pos="4320"/>
      </w:tabs>
      <w:ind w:firstLine="480" w:firstLineChars="200"/>
    </w:pPr>
    <w:rPr>
      <w:rFonts w:ascii="宋体" w:hAnsi="宋体"/>
    </w:rPr>
  </w:style>
  <w:style w:type="character" w:customStyle="1" w:styleId="34">
    <w:name w:val="apple-style-span"/>
    <w:basedOn w:val="26"/>
    <w:qFormat/>
    <w:uiPriority w:val="0"/>
  </w:style>
  <w:style w:type="character" w:customStyle="1" w:styleId="35">
    <w:name w:val="apple-converted-space"/>
    <w:basedOn w:val="26"/>
    <w:qFormat/>
    <w:uiPriority w:val="0"/>
  </w:style>
  <w:style w:type="character" w:customStyle="1" w:styleId="36">
    <w:name w:val="标题 2 Char"/>
    <w:link w:val="5"/>
    <w:qFormat/>
    <w:uiPriority w:val="0"/>
    <w:rPr>
      <w:rFonts w:ascii="Arial" w:hAnsi="Arial" w:eastAsia="黑体"/>
      <w:b/>
      <w:bCs/>
      <w:kern w:val="0"/>
      <w:sz w:val="32"/>
      <w:szCs w:val="32"/>
    </w:rPr>
  </w:style>
  <w:style w:type="character" w:customStyle="1" w:styleId="37">
    <w:name w:val="标题 3 Char"/>
    <w:link w:val="6"/>
    <w:qFormat/>
    <w:uiPriority w:val="0"/>
    <w:rPr>
      <w:b/>
      <w:bCs/>
      <w:sz w:val="32"/>
      <w:szCs w:val="32"/>
    </w:rPr>
  </w:style>
  <w:style w:type="paragraph" w:customStyle="1" w:styleId="38">
    <w:name w:val="P"/>
    <w:basedOn w:val="2"/>
    <w:qFormat/>
    <w:uiPriority w:val="0"/>
    <w:pPr>
      <w:kinsoku w:val="0"/>
      <w:overflowPunct w:val="0"/>
      <w:spacing w:after="0" w:line="360" w:lineRule="auto"/>
      <w:ind w:firstLine="480" w:firstLineChars="200"/>
    </w:pPr>
    <w:rPr>
      <w:rFonts w:ascii="宋体" w:hAnsi="宋体"/>
    </w:rPr>
  </w:style>
  <w:style w:type="paragraph" w:customStyle="1" w:styleId="39">
    <w:name w:val="标题2"/>
    <w:basedOn w:val="1"/>
    <w:qFormat/>
    <w:uiPriority w:val="0"/>
    <w:pPr>
      <w:spacing w:line="360" w:lineRule="auto"/>
    </w:pPr>
    <w:rPr>
      <w:sz w:val="24"/>
    </w:rPr>
  </w:style>
  <w:style w:type="paragraph" w:customStyle="1" w:styleId="40">
    <w:name w:val="正文缩进1"/>
    <w:basedOn w:val="1"/>
    <w:qFormat/>
    <w:uiPriority w:val="0"/>
    <w:pPr>
      <w:adjustRightInd w:val="0"/>
      <w:spacing w:line="300" w:lineRule="auto"/>
      <w:textAlignment w:val="baseline"/>
    </w:pPr>
    <w:rPr>
      <w:rFonts w:ascii="宋体"/>
      <w:sz w:val="24"/>
    </w:rPr>
  </w:style>
  <w:style w:type="paragraph" w:customStyle="1" w:styleId="41">
    <w:name w:val="无格式"/>
    <w:qFormat/>
    <w:uiPriority w:val="0"/>
    <w:pPr>
      <w:jc w:val="both"/>
    </w:pPr>
    <w:rPr>
      <w:rFonts w:ascii="宋体" w:hAnsi="宋体" w:eastAsia="宋体" w:cs="宋体"/>
      <w:sz w:val="24"/>
      <w:szCs w:val="22"/>
      <w:lang w:val="en-US" w:eastAsia="zh-CN" w:bidi="ar-SA"/>
    </w:rPr>
  </w:style>
  <w:style w:type="paragraph" w:customStyle="1" w:styleId="42">
    <w:name w:val="p0"/>
    <w:basedOn w:val="1"/>
    <w:qFormat/>
    <w:uiPriority w:val="0"/>
    <w:pPr>
      <w:widowControl/>
    </w:pPr>
    <w:rPr>
      <w:kern w:val="0"/>
      <w:szCs w:val="21"/>
    </w:rPr>
  </w:style>
  <w:style w:type="paragraph" w:customStyle="1" w:styleId="43">
    <w:name w:val="列出段落3"/>
    <w:basedOn w:val="1"/>
    <w:qFormat/>
    <w:uiPriority w:val="0"/>
    <w:pPr>
      <w:overflowPunct w:val="0"/>
      <w:spacing w:line="360" w:lineRule="auto"/>
      <w:ind w:firstLine="420" w:firstLineChars="200"/>
    </w:pPr>
    <w:rPr>
      <w:rFonts w:ascii="宋体"/>
      <w:szCs w:val="21"/>
    </w:rPr>
  </w:style>
  <w:style w:type="paragraph" w:customStyle="1" w:styleId="44">
    <w:name w:val="默认段落字体 Para Char Char Char Char"/>
    <w:basedOn w:val="1"/>
    <w:qFormat/>
    <w:uiPriority w:val="0"/>
  </w:style>
  <w:style w:type="paragraph" w:customStyle="1" w:styleId="45">
    <w:name w:val="Fließtext"/>
    <w:basedOn w:val="1"/>
    <w:qFormat/>
    <w:uiPriority w:val="0"/>
    <w:pPr>
      <w:overflowPunct w:val="0"/>
      <w:autoSpaceDE w:val="0"/>
      <w:autoSpaceDN w:val="0"/>
      <w:adjustRightInd w:val="0"/>
      <w:textAlignment w:val="baseline"/>
    </w:pPr>
    <w:rPr>
      <w:kern w:val="28"/>
    </w:rPr>
  </w:style>
  <w:style w:type="paragraph" w:customStyle="1" w:styleId="46">
    <w:name w:val="列出段落2"/>
    <w:basedOn w:val="1"/>
    <w:qFormat/>
    <w:uiPriority w:val="34"/>
    <w:pPr>
      <w:ind w:firstLine="420" w:firstLineChars="200"/>
    </w:pPr>
  </w:style>
  <w:style w:type="paragraph" w:customStyle="1" w:styleId="47">
    <w:name w:val="灿"/>
    <w:basedOn w:val="1"/>
    <w:qFormat/>
    <w:uiPriority w:val="0"/>
    <w:pPr>
      <w:tabs>
        <w:tab w:val="left" w:pos="2160"/>
        <w:tab w:val="left" w:pos="2520"/>
        <w:tab w:val="left" w:pos="2880"/>
        <w:tab w:val="left" w:pos="3240"/>
      </w:tabs>
    </w:pPr>
    <w:rPr>
      <w:rFonts w:ascii="華康中楷體" w:hAnsi="Arial" w:eastAsia="華康中楷體"/>
      <w:snapToGrid w:val="0"/>
      <w:kern w:val="0"/>
      <w:sz w:val="24"/>
      <w:lang w:eastAsia="en-US"/>
    </w:rPr>
  </w:style>
  <w:style w:type="paragraph" w:customStyle="1" w:styleId="48">
    <w:name w:val="正文1"/>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49">
    <w:name w:val="s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bumpedfont20"/>
    <w:qFormat/>
    <w:uiPriority w:val="0"/>
    <w:rPr>
      <w:rFonts w:cs="Times New Roman"/>
    </w:rPr>
  </w:style>
  <w:style w:type="paragraph" w:customStyle="1" w:styleId="51">
    <w:name w:val="Char Char Char"/>
    <w:basedOn w:val="1"/>
    <w:qFormat/>
    <w:uiPriority w:val="0"/>
    <w:rPr>
      <w:rFonts w:ascii="Tahoma" w:hAnsi="Tahoma" w:cs="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48233</Words>
  <Characters>49278</Characters>
  <Lines>379</Lines>
  <Paragraphs>106</Paragraphs>
  <TotalTime>19</TotalTime>
  <ScaleCrop>false</ScaleCrop>
  <LinksUpToDate>false</LinksUpToDate>
  <CharactersWithSpaces>50036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2021-10-13T01:17:00Z</dcterms:created>
  <dc:creator>张帆</dc:creator>
  <cp:lastModifiedBy>小单</cp:lastModifiedBy>
  <dcterms:modified xsi:type="dcterms:W3CDTF">2023-07-24T07:32:33Z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69919F88692B4D49B7B47F01443A72ED_13</vt:lpwstr>
  </property>
  <property fmtid="{D5CDD505-2E9C-101B-9397-08002B2CF9AE}" pid="4" name="commondata">
    <vt:lpwstr>eyJoZGlkIjoiYTc2ZGZiNzZiNDVlOGViOWVmM2JhOTY0NGJkNjUyYzgifQ==</vt:lpwstr>
  </property>
</Properties>
</file>