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6300"/>
        </w:tabs>
        <w:snapToGrid w:val="0"/>
        <w:spacing w:line="300" w:lineRule="auto"/>
        <w:rPr>
          <w:rFonts w:cs="宋体"/>
          <w:b/>
          <w:bCs/>
          <w:color w:val="000000" w:themeColor="text1"/>
          <w:sz w:val="44"/>
          <w:szCs w:val="44"/>
          <w14:textFill>
            <w14:solidFill>
              <w14:schemeClr w14:val="tx1"/>
            </w14:solidFill>
          </w14:textFill>
        </w:rPr>
      </w:pPr>
    </w:p>
    <w:p>
      <w:pPr>
        <w:pStyle w:val="2"/>
        <w:ind w:firstLine="480"/>
      </w:pPr>
    </w:p>
    <w:p>
      <w:pPr>
        <w:tabs>
          <w:tab w:val="left" w:pos="6300"/>
        </w:tabs>
        <w:snapToGrid w:val="0"/>
        <w:spacing w:line="300" w:lineRule="auto"/>
        <w:jc w:val="center"/>
        <w:rPr>
          <w:rFonts w:hint="eastAsia" w:ascii="宋体" w:hAnsi="宋体"/>
          <w:b/>
          <w:color w:val="000000" w:themeColor="text1"/>
          <w:w w:val="80"/>
          <w:sz w:val="52"/>
          <w:szCs w:val="52"/>
          <w14:textFill>
            <w14:solidFill>
              <w14:schemeClr w14:val="tx1"/>
            </w14:solidFill>
          </w14:textFill>
        </w:rPr>
      </w:pPr>
      <w:r>
        <w:rPr>
          <w:rFonts w:hint="eastAsia" w:ascii="宋体" w:hAnsi="宋体"/>
          <w:b/>
          <w:color w:val="000000" w:themeColor="text1"/>
          <w:w w:val="80"/>
          <w:sz w:val="52"/>
          <w:szCs w:val="52"/>
          <w14:textFill>
            <w14:solidFill>
              <w14:schemeClr w14:val="tx1"/>
            </w14:solidFill>
          </w14:textFill>
        </w:rPr>
        <w:t>江苏大生集团有限公司信息化建设方案设计</w:t>
      </w:r>
    </w:p>
    <w:p>
      <w:pPr>
        <w:tabs>
          <w:tab w:val="left" w:pos="6300"/>
        </w:tabs>
        <w:snapToGrid w:val="0"/>
        <w:spacing w:line="300" w:lineRule="auto"/>
        <w:jc w:val="center"/>
        <w:rPr>
          <w:rFonts w:ascii="宋体"/>
          <w:b/>
          <w:bCs/>
          <w:color w:val="000000" w:themeColor="text1"/>
          <w:w w:val="80"/>
          <w:sz w:val="52"/>
          <w:szCs w:val="52"/>
          <w14:textFill>
            <w14:solidFill>
              <w14:schemeClr w14:val="tx1"/>
            </w14:solidFill>
          </w14:textFill>
        </w:rPr>
      </w:pPr>
      <w:r>
        <w:rPr>
          <w:rFonts w:hint="eastAsia" w:ascii="宋体" w:hAnsi="宋体"/>
          <w:b/>
          <w:color w:val="000000" w:themeColor="text1"/>
          <w:w w:val="80"/>
          <w:sz w:val="52"/>
          <w:szCs w:val="52"/>
          <w14:textFill>
            <w14:solidFill>
              <w14:schemeClr w14:val="tx1"/>
            </w14:solidFill>
          </w14:textFill>
        </w:rPr>
        <w:t>服务采购项目</w:t>
      </w:r>
    </w:p>
    <w:p>
      <w:pPr>
        <w:pStyle w:val="2"/>
        <w:ind w:firstLine="480"/>
        <w:rPr>
          <w:color w:val="000000" w:themeColor="text1"/>
          <w14:textFill>
            <w14:solidFill>
              <w14:schemeClr w14:val="tx1"/>
            </w14:solidFill>
          </w14:textFill>
        </w:rPr>
      </w:pPr>
    </w:p>
    <w:p>
      <w:pPr>
        <w:tabs>
          <w:tab w:val="left" w:pos="6300"/>
        </w:tabs>
        <w:snapToGrid w:val="0"/>
        <w:spacing w:line="300" w:lineRule="auto"/>
        <w:jc w:val="center"/>
        <w:rPr>
          <w:rFonts w:ascii="宋体"/>
          <w:b/>
          <w:bCs/>
          <w:color w:val="000000" w:themeColor="text1"/>
          <w:w w:val="80"/>
          <w:sz w:val="48"/>
          <w:szCs w:val="48"/>
          <w14:textFill>
            <w14:solidFill>
              <w14:schemeClr w14:val="tx1"/>
            </w14:solidFill>
          </w14:textFill>
        </w:rPr>
      </w:pP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tabs>
          <w:tab w:val="left" w:pos="6300"/>
        </w:tabs>
        <w:snapToGrid w:val="0"/>
        <w:spacing w:line="300" w:lineRule="auto"/>
        <w:jc w:val="center"/>
        <w:rPr>
          <w:rFonts w:ascii="宋体"/>
          <w:b/>
          <w:bCs/>
          <w:color w:val="000000" w:themeColor="text1"/>
          <w:w w:val="80"/>
          <w:sz w:val="96"/>
          <w:szCs w:val="96"/>
          <w14:textFill>
            <w14:solidFill>
              <w14:schemeClr w14:val="tx1"/>
            </w14:solidFill>
          </w14:textFill>
        </w:rPr>
      </w:pPr>
      <w:r>
        <w:rPr>
          <w:rFonts w:hint="eastAsia" w:ascii="宋体" w:hAnsi="宋体" w:cs="宋体"/>
          <w:b/>
          <w:bCs/>
          <w:color w:val="000000" w:themeColor="text1"/>
          <w:w w:val="80"/>
          <w:sz w:val="96"/>
          <w:szCs w:val="96"/>
          <w14:textFill>
            <w14:solidFill>
              <w14:schemeClr w14:val="tx1"/>
            </w14:solidFill>
          </w14:textFill>
        </w:rPr>
        <w:t>竞争性磋商文件</w:t>
      </w:r>
    </w:p>
    <w:p>
      <w:pPr>
        <w:jc w:val="center"/>
        <w:rPr>
          <w:rFonts w:ascii="宋体"/>
          <w:b/>
          <w:bCs/>
          <w:color w:val="000000" w:themeColor="text1"/>
          <w:sz w:val="44"/>
          <w:szCs w:val="44"/>
          <w14:textFill>
            <w14:solidFill>
              <w14:schemeClr w14:val="tx1"/>
            </w14:solidFill>
          </w14:textFill>
        </w:rPr>
      </w:pPr>
      <w:r>
        <w:rPr>
          <w:rFonts w:hint="eastAsia" w:ascii="宋体"/>
          <w:b/>
          <w:bCs/>
          <w:color w:val="000000" w:themeColor="text1"/>
          <w:sz w:val="44"/>
          <w:szCs w:val="44"/>
          <w14:textFill>
            <w14:solidFill>
              <w14:schemeClr w14:val="tx1"/>
            </w14:solidFill>
          </w14:textFill>
        </w:rPr>
        <w:t>JSKJ2023196（JC48）</w:t>
      </w:r>
    </w:p>
    <w:p>
      <w:pPr>
        <w:spacing w:line="360" w:lineRule="auto"/>
        <w:jc w:val="center"/>
        <w:rPr>
          <w:rFonts w:ascii="宋体"/>
          <w:b/>
          <w:bCs/>
          <w:color w:val="000000" w:themeColor="text1"/>
          <w:sz w:val="44"/>
          <w:szCs w:val="44"/>
          <w14:textFill>
            <w14:solidFill>
              <w14:schemeClr w14:val="tx1"/>
            </w14:solidFill>
          </w14:textFill>
        </w:rPr>
      </w:pPr>
    </w:p>
    <w:p>
      <w:pPr>
        <w:snapToGrid w:val="0"/>
        <w:spacing w:line="360" w:lineRule="auto"/>
        <w:rPr>
          <w:rFonts w:ascii="宋体"/>
          <w:b/>
          <w:bCs/>
          <w:color w:val="000000" w:themeColor="text1"/>
          <w:sz w:val="36"/>
          <w:szCs w:val="36"/>
          <w14:textFill>
            <w14:solidFill>
              <w14:schemeClr w14:val="tx1"/>
            </w14:solidFill>
          </w14:textFill>
        </w:rPr>
      </w:pPr>
    </w:p>
    <w:p>
      <w:pPr>
        <w:snapToGrid w:val="0"/>
        <w:spacing w:line="360" w:lineRule="auto"/>
        <w:jc w:val="center"/>
        <w:rPr>
          <w:rFonts w:ascii="宋体"/>
          <w:b/>
          <w:bCs/>
          <w:color w:val="000000" w:themeColor="text1"/>
          <w:sz w:val="36"/>
          <w:szCs w:val="36"/>
          <w14:textFill>
            <w14:solidFill>
              <w14:schemeClr w14:val="tx1"/>
            </w14:solidFill>
          </w14:textFill>
        </w:rPr>
      </w:pPr>
    </w:p>
    <w:p>
      <w:pPr>
        <w:pStyle w:val="2"/>
        <w:ind w:firstLine="480"/>
      </w:pPr>
    </w:p>
    <w:p>
      <w:pPr>
        <w:pStyle w:val="2"/>
        <w:ind w:firstLine="480"/>
      </w:pPr>
    </w:p>
    <w:p>
      <w:pPr>
        <w:pStyle w:val="2"/>
        <w:ind w:firstLine="480"/>
      </w:pPr>
    </w:p>
    <w:p>
      <w:pPr>
        <w:snapToGrid w:val="0"/>
        <w:spacing w:line="360" w:lineRule="auto"/>
        <w:rPr>
          <w:rFonts w:ascii="宋体"/>
          <w:b/>
          <w:bCs/>
          <w:color w:val="000000" w:themeColor="text1"/>
          <w:sz w:val="36"/>
          <w:szCs w:val="36"/>
          <w14:textFill>
            <w14:solidFill>
              <w14:schemeClr w14:val="tx1"/>
            </w14:solidFill>
          </w14:textFill>
        </w:rPr>
      </w:pPr>
    </w:p>
    <w:p>
      <w:pPr>
        <w:ind w:left="840" w:leftChars="400"/>
        <w:rPr>
          <w:rFonts w:ascii="宋体" w:hAnsi="宋体" w:cs="宋体"/>
          <w:b/>
          <w:snapToGrid w:val="0"/>
          <w:color w:val="000000" w:themeColor="text1"/>
          <w:kern w:val="0"/>
          <w:sz w:val="30"/>
          <w:szCs w:val="30"/>
          <w14:textFill>
            <w14:solidFill>
              <w14:schemeClr w14:val="tx1"/>
            </w14:solidFill>
          </w14:textFill>
        </w:rPr>
      </w:pPr>
      <w:bookmarkStart w:id="0" w:name="_Toc8895738"/>
      <w:bookmarkStart w:id="1" w:name="_Toc94544827"/>
      <w:bookmarkStart w:id="2" w:name="_Toc11500279"/>
      <w:bookmarkStart w:id="3" w:name="_Toc521201596"/>
      <w:bookmarkStart w:id="4" w:name="_Toc11554638"/>
      <w:bookmarkStart w:id="5" w:name="_Toc11499583"/>
      <w:bookmarkStart w:id="6" w:name="_Toc12670502"/>
      <w:bookmarkStart w:id="7" w:name="_Toc94585339"/>
      <w:bookmarkStart w:id="8" w:name="_Toc94544743"/>
      <w:bookmarkStart w:id="9" w:name="_Toc521203417"/>
      <w:r>
        <w:rPr>
          <w:rFonts w:hint="eastAsia" w:ascii="宋体" w:hAnsi="宋体" w:cs="宋体"/>
          <w:b/>
          <w:snapToGrid w:val="0"/>
          <w:color w:val="000000" w:themeColor="text1"/>
          <w:kern w:val="0"/>
          <w:sz w:val="30"/>
          <w:szCs w:val="30"/>
          <w14:textFill>
            <w14:solidFill>
              <w14:schemeClr w14:val="tx1"/>
            </w14:solidFill>
          </w14:textFill>
        </w:rPr>
        <w:t xml:space="preserve">    采购单位：</w:t>
      </w:r>
      <w:r>
        <w:rPr>
          <w:rFonts w:hint="eastAsia" w:ascii="宋体" w:hAnsi="宋体" w:cs="宋体"/>
          <w:b/>
          <w:color w:val="000000" w:themeColor="text1"/>
          <w:sz w:val="30"/>
          <w:szCs w:val="30"/>
          <w14:textFill>
            <w14:solidFill>
              <w14:schemeClr w14:val="tx1"/>
            </w14:solidFill>
          </w14:textFill>
        </w:rPr>
        <w:t>江苏大生集团有限公司</w:t>
      </w:r>
    </w:p>
    <w:p>
      <w:pPr>
        <w:ind w:left="840" w:leftChars="400"/>
        <w:rPr>
          <w:rFonts w:ascii="宋体" w:hAnsi="宋体" w:cs="宋体"/>
          <w:b/>
          <w:snapToGrid w:val="0"/>
          <w:color w:val="000000" w:themeColor="text1"/>
          <w:kern w:val="0"/>
          <w:sz w:val="30"/>
          <w:szCs w:val="30"/>
          <w14:textFill>
            <w14:solidFill>
              <w14:schemeClr w14:val="tx1"/>
            </w14:solidFill>
          </w14:textFill>
        </w:rPr>
      </w:pPr>
      <w:r>
        <w:rPr>
          <w:rFonts w:hint="eastAsia" w:ascii="宋体" w:hAnsi="宋体" w:cs="宋体"/>
          <w:b/>
          <w:snapToGrid w:val="0"/>
          <w:color w:val="000000" w:themeColor="text1"/>
          <w:kern w:val="0"/>
          <w:sz w:val="30"/>
          <w:szCs w:val="30"/>
          <w14:textFill>
            <w14:solidFill>
              <w14:schemeClr w14:val="tx1"/>
            </w14:solidFill>
          </w14:textFill>
        </w:rPr>
        <w:t xml:space="preserve">    代理机构：江苏科建工程项目管理有限公司</w:t>
      </w:r>
    </w:p>
    <w:p>
      <w:pPr>
        <w:ind w:left="840" w:leftChars="400" w:firstLine="2397" w:firstLineChars="796"/>
        <w:rPr>
          <w:rFonts w:ascii="宋体" w:hAnsi="宋体" w:cs="宋体"/>
          <w:b/>
          <w:snapToGrid w:val="0"/>
          <w:color w:val="000000" w:themeColor="text1"/>
          <w:kern w:val="0"/>
          <w:sz w:val="30"/>
          <w:szCs w:val="3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851" w:right="851" w:bottom="851" w:left="851" w:header="851" w:footer="454" w:gutter="0"/>
          <w:pgNumType w:start="1"/>
          <w:cols w:space="720" w:num="1"/>
          <w:titlePg/>
          <w:docGrid w:type="lines" w:linePitch="312" w:charSpace="0"/>
        </w:sectPr>
      </w:pPr>
      <w:r>
        <w:rPr>
          <w:rFonts w:hint="eastAsia" w:ascii="宋体" w:hAnsi="宋体" w:cs="宋体"/>
          <w:b/>
          <w:snapToGrid w:val="0"/>
          <w:color w:val="000000" w:themeColor="text1"/>
          <w:kern w:val="0"/>
          <w:sz w:val="30"/>
          <w:szCs w:val="30"/>
          <w14:textFill>
            <w14:solidFill>
              <w14:schemeClr w14:val="tx1"/>
            </w14:solidFill>
          </w14:textFill>
        </w:rPr>
        <w:t xml:space="preserve">  二〇二三年八月</w:t>
      </w:r>
    </w:p>
    <w:p>
      <w:pPr>
        <w:adjustRightInd w:val="0"/>
        <w:snapToGrid w:val="0"/>
        <w:spacing w:line="360" w:lineRule="auto"/>
        <w:rPr>
          <w:rFonts w:ascii="宋体"/>
          <w:color w:val="000000" w:themeColor="text1"/>
          <w:w w:val="80"/>
          <w:sz w:val="32"/>
          <w:szCs w:val="32"/>
          <w14:textFill>
            <w14:solidFill>
              <w14:schemeClr w14:val="tx1"/>
            </w14:solidFill>
          </w14:textFill>
        </w:rPr>
      </w:pPr>
    </w:p>
    <w:p>
      <w:pPr>
        <w:pStyle w:val="26"/>
        <w:tabs>
          <w:tab w:val="left" w:pos="1050"/>
          <w:tab w:val="right" w:leader="dot" w:pos="9402"/>
        </w:tabs>
        <w:spacing w:line="960" w:lineRule="exact"/>
        <w:ind w:left="0" w:firstLine="3971" w:firstLineChars="950"/>
        <w:outlineLvl w:val="0"/>
        <w:rPr>
          <w:rFonts w:ascii="宋体"/>
          <w:b/>
          <w:bCs/>
          <w:i w:val="0"/>
          <w:iCs w:val="0"/>
          <w:color w:val="000000" w:themeColor="text1"/>
          <w:w w:val="80"/>
          <w:sz w:val="52"/>
          <w:szCs w:val="52"/>
          <w14:textFill>
            <w14:solidFill>
              <w14:schemeClr w14:val="tx1"/>
            </w14:solidFill>
          </w14:textFill>
        </w:rPr>
      </w:pPr>
      <w:r>
        <w:rPr>
          <w:rFonts w:hint="eastAsia" w:ascii="宋体" w:hAnsi="宋体" w:cs="宋体"/>
          <w:b/>
          <w:bCs/>
          <w:i w:val="0"/>
          <w:iCs w:val="0"/>
          <w:color w:val="000000" w:themeColor="text1"/>
          <w:w w:val="80"/>
          <w:sz w:val="52"/>
          <w:szCs w:val="52"/>
          <w14:textFill>
            <w14:solidFill>
              <w14:schemeClr w14:val="tx1"/>
            </w14:solidFill>
          </w14:textFill>
        </w:rPr>
        <w:t>目  录</w:t>
      </w:r>
    </w:p>
    <w:p>
      <w:pPr>
        <w:spacing w:line="800" w:lineRule="exact"/>
        <w:jc w:val="center"/>
        <w:rPr>
          <w:rFonts w:ascii="宋体"/>
          <w:b/>
          <w:bCs/>
          <w:color w:val="000000" w:themeColor="text1"/>
          <w:sz w:val="52"/>
          <w:szCs w:val="52"/>
          <w14:textFill>
            <w14:solidFill>
              <w14:schemeClr w14:val="tx1"/>
            </w14:solidFill>
          </w14:textFill>
        </w:rPr>
      </w:pPr>
    </w:p>
    <w:p>
      <w:pPr>
        <w:pStyle w:val="26"/>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第一章  竞争性磋商公告</w:t>
      </w:r>
    </w:p>
    <w:p>
      <w:pPr>
        <w:rPr>
          <w:rFonts w:ascii="宋体"/>
          <w:color w:val="000000" w:themeColor="text1"/>
          <w:sz w:val="36"/>
          <w:szCs w:val="36"/>
          <w14:textFill>
            <w14:solidFill>
              <w14:schemeClr w14:val="tx1"/>
            </w14:solidFill>
          </w14:textFill>
        </w:rPr>
      </w:pPr>
    </w:p>
    <w:p>
      <w:pPr>
        <w:pStyle w:val="26"/>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第二章  磋商供应商须知</w:t>
      </w:r>
    </w:p>
    <w:p>
      <w:pPr>
        <w:rPr>
          <w:rFonts w:ascii="宋体"/>
          <w:color w:val="000000" w:themeColor="text1"/>
          <w:sz w:val="36"/>
          <w:szCs w:val="36"/>
          <w14:textFill>
            <w14:solidFill>
              <w14:schemeClr w14:val="tx1"/>
            </w14:solidFill>
          </w14:textFill>
        </w:rPr>
      </w:pPr>
    </w:p>
    <w:p>
      <w:pPr>
        <w:pStyle w:val="26"/>
        <w:tabs>
          <w:tab w:val="left" w:pos="1050"/>
          <w:tab w:val="right" w:leader="dot" w:pos="9402"/>
        </w:tabs>
        <w:spacing w:line="520" w:lineRule="exact"/>
        <w:ind w:left="1"/>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第三章  项目需求</w:t>
      </w:r>
    </w:p>
    <w:p>
      <w:pPr>
        <w:rPr>
          <w:rFonts w:ascii="宋体"/>
          <w:color w:val="000000" w:themeColor="text1"/>
          <w:sz w:val="36"/>
          <w:szCs w:val="36"/>
          <w14:textFill>
            <w14:solidFill>
              <w14:schemeClr w14:val="tx1"/>
            </w14:solidFill>
          </w14:textFill>
        </w:rPr>
      </w:pPr>
    </w:p>
    <w:p>
      <w:pPr>
        <w:pStyle w:val="26"/>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第四章  评审方法和程序</w:t>
      </w:r>
    </w:p>
    <w:p>
      <w:pPr>
        <w:rPr>
          <w:rFonts w:ascii="宋体"/>
          <w:color w:val="000000" w:themeColor="text1"/>
          <w:sz w:val="36"/>
          <w:szCs w:val="36"/>
          <w14:textFill>
            <w14:solidFill>
              <w14:schemeClr w14:val="tx1"/>
            </w14:solidFill>
          </w14:textFill>
        </w:rPr>
      </w:pPr>
    </w:p>
    <w:p>
      <w:pPr>
        <w:pStyle w:val="26"/>
        <w:numPr>
          <w:ilvl w:val="0"/>
          <w:numId w:val="2"/>
        </w:numPr>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 xml:space="preserve"> 合同主要条款</w:t>
      </w:r>
    </w:p>
    <w:p>
      <w:pPr>
        <w:rPr>
          <w:rFonts w:ascii="宋体"/>
          <w:i/>
          <w:iCs/>
          <w:color w:val="000000" w:themeColor="text1"/>
          <w:w w:val="80"/>
          <w:sz w:val="36"/>
          <w:szCs w:val="36"/>
          <w14:textFill>
            <w14:solidFill>
              <w14:schemeClr w14:val="tx1"/>
            </w14:solidFill>
          </w14:textFill>
        </w:rPr>
      </w:pPr>
    </w:p>
    <w:p>
      <w:pPr>
        <w:pStyle w:val="26"/>
        <w:numPr>
          <w:ilvl w:val="0"/>
          <w:numId w:val="2"/>
        </w:numPr>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 xml:space="preserve"> 合同授予</w:t>
      </w:r>
    </w:p>
    <w:p>
      <w:pPr>
        <w:rPr>
          <w:rFonts w:ascii="宋体"/>
          <w:color w:val="000000" w:themeColor="text1"/>
          <w:sz w:val="36"/>
          <w:szCs w:val="36"/>
          <w14:textFill>
            <w14:solidFill>
              <w14:schemeClr w14:val="tx1"/>
            </w14:solidFill>
          </w14:textFill>
        </w:rPr>
      </w:pPr>
    </w:p>
    <w:p>
      <w:pPr>
        <w:pStyle w:val="26"/>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第七章  质疑提出和处理</w:t>
      </w:r>
    </w:p>
    <w:p>
      <w:pPr>
        <w:rPr>
          <w:rFonts w:ascii="宋体"/>
          <w:color w:val="000000" w:themeColor="text1"/>
          <w:sz w:val="36"/>
          <w:szCs w:val="36"/>
          <w14:textFill>
            <w14:solidFill>
              <w14:schemeClr w14:val="tx1"/>
            </w14:solidFill>
          </w14:textFill>
        </w:rPr>
      </w:pPr>
    </w:p>
    <w:p>
      <w:pPr>
        <w:pStyle w:val="26"/>
        <w:tabs>
          <w:tab w:val="left" w:pos="1050"/>
          <w:tab w:val="right" w:leader="dot" w:pos="9402"/>
        </w:tabs>
        <w:spacing w:line="520" w:lineRule="exact"/>
        <w:ind w:left="0"/>
        <w:rPr>
          <w:rFonts w:ascii="宋体"/>
          <w:i w:val="0"/>
          <w:iCs w:val="0"/>
          <w:color w:val="000000" w:themeColor="text1"/>
          <w:w w:val="80"/>
          <w:sz w:val="36"/>
          <w:szCs w:val="36"/>
          <w14:textFill>
            <w14:solidFill>
              <w14:schemeClr w14:val="tx1"/>
            </w14:solidFill>
          </w14:textFill>
        </w:rPr>
      </w:pPr>
      <w:r>
        <w:rPr>
          <w:rFonts w:hint="eastAsia" w:ascii="宋体" w:hAnsi="宋体" w:cs="宋体"/>
          <w:i w:val="0"/>
          <w:iCs w:val="0"/>
          <w:color w:val="000000" w:themeColor="text1"/>
          <w:w w:val="80"/>
          <w:sz w:val="36"/>
          <w:szCs w:val="36"/>
          <w14:textFill>
            <w14:solidFill>
              <w14:schemeClr w14:val="tx1"/>
            </w14:solidFill>
          </w14:textFill>
        </w:rPr>
        <w:t>第八章  响应文件组成及格式</w:t>
      </w:r>
    </w:p>
    <w:p>
      <w:pPr>
        <w:rPr>
          <w:rFonts w:ascii="宋体"/>
          <w:color w:val="000000" w:themeColor="text1"/>
          <w:sz w:val="36"/>
          <w:szCs w:val="36"/>
          <w14:textFill>
            <w14:solidFill>
              <w14:schemeClr w14:val="tx1"/>
            </w14:solidFill>
          </w14:textFill>
        </w:rPr>
      </w:pPr>
    </w:p>
    <w:p>
      <w:pPr>
        <w:rPr>
          <w:rFonts w:ascii="宋体"/>
          <w:color w:val="000000" w:themeColor="text1"/>
          <w:sz w:val="36"/>
          <w:szCs w:val="36"/>
          <w14:textFill>
            <w14:solidFill>
              <w14:schemeClr w14:val="tx1"/>
            </w14:solidFill>
          </w14:textFill>
        </w:rPr>
      </w:pPr>
    </w:p>
    <w:p>
      <w:pPr>
        <w:snapToGrid w:val="0"/>
        <w:spacing w:line="360" w:lineRule="auto"/>
        <w:rPr>
          <w:rFonts w:ascii="宋体"/>
          <w:b/>
          <w:bCs/>
          <w:color w:val="000000" w:themeColor="text1"/>
          <w14:textFill>
            <w14:solidFill>
              <w14:schemeClr w14:val="tx1"/>
            </w14:solidFill>
          </w14:textFill>
        </w:rPr>
      </w:pPr>
      <w:r>
        <w:rPr>
          <w:rFonts w:ascii="宋体"/>
          <w:b/>
          <w:bCs/>
          <w:color w:val="000000" w:themeColor="text1"/>
          <w14:textFill>
            <w14:solidFill>
              <w14:schemeClr w14:val="tx1"/>
            </w14:solidFill>
          </w14:textFill>
        </w:rPr>
        <w:br w:type="page"/>
      </w:r>
    </w:p>
    <w:p>
      <w:pPr>
        <w:spacing w:line="480" w:lineRule="exact"/>
        <w:ind w:left="3145" w:leftChars="150" w:hanging="2830" w:hangingChars="8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w w:val="80"/>
          <w:sz w:val="44"/>
          <w:szCs w:val="44"/>
          <w14:textFill>
            <w14:solidFill>
              <w14:schemeClr w14:val="tx1"/>
            </w14:solidFill>
          </w14:textFill>
        </w:rPr>
        <w:t xml:space="preserve">           第一章  竞争性磋商公告</w:t>
      </w:r>
    </w:p>
    <w:p>
      <w:pPr>
        <w:snapToGrid w:val="0"/>
        <w:spacing w:line="360" w:lineRule="auto"/>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尊敬的磋商供应商：</w:t>
      </w:r>
    </w:p>
    <w:p>
      <w:pPr>
        <w:snapToGrid w:val="0"/>
        <w:spacing w:line="360" w:lineRule="auto"/>
        <w:ind w:firstLine="482" w:firstLineChars="20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欢迎参加本采购项目的竞争性磋商。为了保证本次磋商项目顺利进行，请在制作响应文件之前，仔细阅读本竞争性磋商文件的各项条款，并按要求制作和递交响应文件。谢谢合作！</w:t>
      </w:r>
      <w:bookmarkEnd w:id="0"/>
      <w:bookmarkEnd w:id="1"/>
      <w:bookmarkEnd w:id="2"/>
      <w:bookmarkEnd w:id="3"/>
      <w:bookmarkEnd w:id="4"/>
      <w:bookmarkEnd w:id="5"/>
      <w:bookmarkEnd w:id="6"/>
      <w:bookmarkEnd w:id="7"/>
      <w:bookmarkEnd w:id="8"/>
      <w:bookmarkEnd w:id="9"/>
      <w:bookmarkStart w:id="10" w:name="_Toc11554639"/>
      <w:bookmarkStart w:id="11" w:name="_Toc8895739"/>
      <w:bookmarkStart w:id="12" w:name="_Toc521203418"/>
      <w:bookmarkStart w:id="13" w:name="_Toc94544744"/>
      <w:bookmarkStart w:id="14" w:name="_Toc11499584"/>
      <w:bookmarkStart w:id="15" w:name="_Toc521201597"/>
      <w:bookmarkStart w:id="16" w:name="_Toc11500280"/>
      <w:bookmarkStart w:id="17" w:name="_Toc12670503"/>
      <w:bookmarkStart w:id="18" w:name="_Toc94585340"/>
      <w:bookmarkStart w:id="19" w:name="_Toc94544828"/>
      <w:bookmarkStart w:id="20" w:name="_Toc363573854"/>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江苏大生集团有限公司信息化建设方案设计服务采购项目</w:t>
      </w:r>
      <w:r>
        <w:rPr>
          <w:rFonts w:hint="eastAsia" w:ascii="仿宋" w:hAnsi="仿宋" w:eastAsia="仿宋"/>
          <w:color w:val="000000" w:themeColor="text1"/>
          <w:sz w:val="28"/>
          <w:szCs w:val="28"/>
          <w14:textFill>
            <w14:solidFill>
              <w14:schemeClr w14:val="tx1"/>
            </w14:solidFill>
          </w14:textFill>
        </w:rPr>
        <w:t>的潜在供应商应在</w:t>
      </w:r>
      <w:r>
        <w:rPr>
          <w:rFonts w:hint="eastAsia" w:ascii="仿宋" w:hAnsi="仿宋" w:eastAsia="仿宋"/>
          <w:color w:val="000000" w:themeColor="text1"/>
          <w:sz w:val="28"/>
          <w:szCs w:val="28"/>
          <w:u w:val="single"/>
          <w14:textFill>
            <w14:solidFill>
              <w14:schemeClr w14:val="tx1"/>
            </w14:solidFill>
          </w14:textFill>
        </w:rPr>
        <w:t>“江苏大生集团有限公司官网”</w:t>
      </w:r>
      <w:r>
        <w:rPr>
          <w:rFonts w:hint="eastAsia" w:ascii="仿宋" w:hAnsi="仿宋" w:eastAsia="仿宋"/>
          <w:color w:val="000000" w:themeColor="text1"/>
          <w:sz w:val="28"/>
          <w:szCs w:val="28"/>
          <w14:textFill>
            <w14:solidFill>
              <w14:schemeClr w14:val="tx1"/>
            </w14:solidFill>
          </w14:textFill>
        </w:rPr>
        <w:t>内获取磋商文件，并于</w:t>
      </w:r>
      <w:r>
        <w:rPr>
          <w:rFonts w:hint="eastAsia" w:ascii="仿宋" w:hAnsi="仿宋" w:eastAsia="仿宋"/>
          <w:color w:val="000000" w:themeColor="text1"/>
          <w:sz w:val="28"/>
          <w:szCs w:val="28"/>
          <w:u w:val="single"/>
          <w14:textFill>
            <w14:solidFill>
              <w14:schemeClr w14:val="tx1"/>
            </w14:solidFill>
          </w14:textFill>
        </w:rPr>
        <w:t>202</w:t>
      </w:r>
      <w:r>
        <w:rPr>
          <w:rFonts w:ascii="仿宋" w:hAnsi="仿宋" w:eastAsia="仿宋"/>
          <w:color w:val="000000" w:themeColor="text1"/>
          <w:sz w:val="28"/>
          <w:szCs w:val="28"/>
          <w:u w:val="single"/>
          <w14:textFill>
            <w14:solidFill>
              <w14:schemeClr w14:val="tx1"/>
            </w14:solidFill>
          </w14:textFill>
        </w:rPr>
        <w:t>3</w:t>
      </w:r>
      <w:r>
        <w:rPr>
          <w:rFonts w:hint="eastAsia" w:ascii="仿宋" w:hAnsi="仿宋" w:eastAsia="仿宋"/>
          <w:bCs/>
          <w:color w:val="000000" w:themeColor="text1"/>
          <w:sz w:val="28"/>
          <w:szCs w:val="28"/>
          <w:u w:val="single"/>
          <w14:textFill>
            <w14:solidFill>
              <w14:schemeClr w14:val="tx1"/>
            </w14:solidFill>
          </w14:textFill>
        </w:rPr>
        <w:t>年</w:t>
      </w:r>
      <w:r>
        <w:rPr>
          <w:rFonts w:hint="eastAsia" w:ascii="仿宋" w:hAnsi="仿宋" w:eastAsia="仿宋"/>
          <w:bCs/>
          <w:color w:val="000000" w:themeColor="text1"/>
          <w:sz w:val="28"/>
          <w:szCs w:val="28"/>
          <w:u w:val="single"/>
          <w:lang w:val="en-US" w:eastAsia="zh-CN"/>
          <w14:textFill>
            <w14:solidFill>
              <w14:schemeClr w14:val="tx1"/>
            </w14:solidFill>
          </w14:textFill>
        </w:rPr>
        <w:t>9</w:t>
      </w:r>
      <w:r>
        <w:rPr>
          <w:rFonts w:hint="eastAsia" w:ascii="仿宋" w:hAnsi="仿宋" w:eastAsia="仿宋"/>
          <w:bCs/>
          <w:color w:val="000000" w:themeColor="text1"/>
          <w:sz w:val="28"/>
          <w:szCs w:val="28"/>
          <w:u w:val="single"/>
          <w14:textFill>
            <w14:solidFill>
              <w14:schemeClr w14:val="tx1"/>
            </w14:solidFill>
          </w14:textFill>
        </w:rPr>
        <w:t>月</w:t>
      </w:r>
      <w:r>
        <w:rPr>
          <w:rFonts w:hint="eastAsia" w:ascii="仿宋" w:hAnsi="仿宋" w:eastAsia="仿宋"/>
          <w:bCs/>
          <w:color w:val="000000" w:themeColor="text1"/>
          <w:sz w:val="28"/>
          <w:szCs w:val="28"/>
          <w:u w:val="single"/>
          <w:lang w:val="en-US" w:eastAsia="zh-CN"/>
          <w14:textFill>
            <w14:solidFill>
              <w14:schemeClr w14:val="tx1"/>
            </w14:solidFill>
          </w14:textFill>
        </w:rPr>
        <w:t>12</w:t>
      </w:r>
      <w:r>
        <w:rPr>
          <w:rFonts w:hint="eastAsia" w:ascii="仿宋" w:hAnsi="仿宋" w:eastAsia="仿宋"/>
          <w:bCs/>
          <w:color w:val="000000" w:themeColor="text1"/>
          <w:sz w:val="28"/>
          <w:szCs w:val="28"/>
          <w:u w:val="single"/>
          <w14:textFill>
            <w14:solidFill>
              <w14:schemeClr w14:val="tx1"/>
            </w14:solidFill>
          </w14:textFill>
        </w:rPr>
        <w:t>日9:30（</w:t>
      </w:r>
      <w:r>
        <w:rPr>
          <w:rFonts w:hint="eastAsia" w:ascii="仿宋" w:hAnsi="仿宋" w:eastAsia="仿宋"/>
          <w:bCs/>
          <w:color w:val="000000" w:themeColor="text1"/>
          <w:sz w:val="28"/>
          <w:szCs w:val="28"/>
          <w14:textFill>
            <w14:solidFill>
              <w14:schemeClr w14:val="tx1"/>
            </w14:solidFill>
          </w14:textFill>
        </w:rPr>
        <w:t>北京时间）前递交响应文件</w:t>
      </w:r>
      <w:r>
        <w:rPr>
          <w:rFonts w:hint="eastAsia" w:ascii="仿宋" w:hAnsi="仿宋" w:eastAsia="仿宋"/>
          <w:color w:val="000000" w:themeColor="text1"/>
          <w:sz w:val="28"/>
          <w:szCs w:val="28"/>
          <w14:textFill>
            <w14:solidFill>
              <w14:schemeClr w14:val="tx1"/>
            </w14:solidFill>
          </w14:textFill>
        </w:rPr>
        <w:t>。</w:t>
      </w:r>
    </w:p>
    <w:p>
      <w:pPr>
        <w:rPr>
          <w:color w:val="000000" w:themeColor="text1"/>
          <w:sz w:val="28"/>
          <w:szCs w:val="28"/>
          <w14:textFill>
            <w14:solidFill>
              <w14:schemeClr w14:val="tx1"/>
            </w14:solidFill>
          </w14:textFill>
        </w:rPr>
      </w:pPr>
    </w:p>
    <w:p>
      <w:pPr>
        <w:pStyle w:val="6"/>
        <w:spacing w:line="360" w:lineRule="auto"/>
        <w:rPr>
          <w:rFonts w:ascii="黑体" w:hAnsi="黑体" w:cs="宋体"/>
          <w:b w:val="0"/>
          <w:color w:val="000000" w:themeColor="text1"/>
          <w:sz w:val="28"/>
          <w:szCs w:val="28"/>
          <w14:textFill>
            <w14:solidFill>
              <w14:schemeClr w14:val="tx1"/>
            </w14:solidFill>
          </w14:textFill>
        </w:rPr>
      </w:pPr>
      <w:bookmarkStart w:id="21" w:name="_Toc28359002"/>
      <w:bookmarkStart w:id="22" w:name="_Toc28359079"/>
      <w:bookmarkStart w:id="23" w:name="_Toc35393790"/>
      <w:bookmarkStart w:id="24" w:name="_Toc35393621"/>
      <w:bookmarkStart w:id="25" w:name="_Hlk24379207"/>
      <w:r>
        <w:rPr>
          <w:rFonts w:hint="eastAsia" w:ascii="黑体" w:hAnsi="黑体" w:cs="宋体"/>
          <w:b w:val="0"/>
          <w:color w:val="000000" w:themeColor="text1"/>
          <w:sz w:val="28"/>
          <w:szCs w:val="28"/>
          <w14:textFill>
            <w14:solidFill>
              <w14:schemeClr w14:val="tx1"/>
            </w14:solidFill>
          </w14:textFill>
        </w:rPr>
        <w:t>一、项目基本情况</w:t>
      </w:r>
      <w:bookmarkEnd w:id="21"/>
      <w:bookmarkEnd w:id="22"/>
      <w:bookmarkEnd w:id="23"/>
      <w:bookmarkEnd w:id="24"/>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项目编号：JSKJ2023196（JC48）</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项目名称：江苏大生集团有限公司信息化建设方案设计服务采购项目</w:t>
      </w:r>
    </w:p>
    <w:bookmarkEnd w:id="25"/>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采购方式：竞争性磋商；</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项目类型：服务；</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预算金额：</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.5万元</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最高限价：</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.5万元，最终报价超过预算的为无效磋商</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采购需求：详见竞争性磋商文件第三章</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合同履行期限：详见磋商文件</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本项目不接受联合体磋商。</w:t>
      </w:r>
    </w:p>
    <w:p>
      <w:pPr>
        <w:pStyle w:val="6"/>
        <w:spacing w:line="360" w:lineRule="auto"/>
        <w:rPr>
          <w:rFonts w:ascii="黑体" w:hAnsi="黑体" w:cs="宋体"/>
          <w:b w:val="0"/>
          <w:color w:val="000000" w:themeColor="text1"/>
          <w:sz w:val="28"/>
          <w:szCs w:val="28"/>
          <w14:textFill>
            <w14:solidFill>
              <w14:schemeClr w14:val="tx1"/>
            </w14:solidFill>
          </w14:textFill>
        </w:rPr>
      </w:pPr>
      <w:bookmarkStart w:id="26" w:name="_Toc35393791"/>
      <w:bookmarkStart w:id="27" w:name="_Toc35393622"/>
      <w:bookmarkStart w:id="28" w:name="_Toc28359080"/>
      <w:bookmarkStart w:id="29" w:name="_Toc28359003"/>
      <w:r>
        <w:rPr>
          <w:rFonts w:hint="eastAsia" w:ascii="黑体" w:hAnsi="黑体" w:cs="宋体"/>
          <w:b w:val="0"/>
          <w:color w:val="000000" w:themeColor="text1"/>
          <w:sz w:val="28"/>
          <w:szCs w:val="28"/>
          <w14:textFill>
            <w14:solidFill>
              <w14:schemeClr w14:val="tx1"/>
            </w14:solidFill>
          </w14:textFill>
        </w:rPr>
        <w:t>二、申请人的资格要求：</w:t>
      </w:r>
      <w:bookmarkEnd w:id="26"/>
      <w:bookmarkEnd w:id="27"/>
      <w:bookmarkEnd w:id="28"/>
      <w:bookmarkEnd w:id="29"/>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14:textFill>
            <w14:solidFill>
              <w14:schemeClr w14:val="tx1"/>
            </w14:solidFill>
          </w14:textFill>
        </w:rPr>
        <w:t>满足《中华人民共和国政府采购法》第二十二条规定；</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bookmarkStart w:id="30" w:name="_Toc28359081"/>
      <w:bookmarkStart w:id="31" w:name="_Toc28359004"/>
      <w:r>
        <w:rPr>
          <w:rFonts w:ascii="仿宋" w:hAnsi="仿宋" w:eastAsia="仿宋"/>
          <w:color w:val="000000" w:themeColor="text1"/>
          <w:sz w:val="28"/>
          <w:szCs w:val="28"/>
          <w14:textFill>
            <w14:solidFill>
              <w14:schemeClr w14:val="tx1"/>
            </w14:solidFill>
          </w14:textFill>
        </w:rPr>
        <w:t>2.未被“信用中国”网站（www.creditchina.gov.cn）列入失信被执行人、重大税收违法案件当事人名单、政府采购严重失信行为记录名单；</w:t>
      </w:r>
    </w:p>
    <w:p>
      <w:pPr>
        <w:spacing w:line="360" w:lineRule="auto"/>
        <w:ind w:firstLine="840" w:firstLineChars="3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ascii="仿宋" w:hAnsi="仿宋" w:eastAsia="仿宋"/>
          <w:color w:val="000000" w:themeColor="text1"/>
          <w:sz w:val="28"/>
          <w:szCs w:val="28"/>
          <w14:textFill>
            <w14:solidFill>
              <w14:schemeClr w14:val="tx1"/>
            </w14:solidFill>
          </w14:textFill>
        </w:rPr>
        <w:t>.本项目的特定资格要求：无。</w:t>
      </w:r>
    </w:p>
    <w:p>
      <w:pPr>
        <w:pStyle w:val="6"/>
        <w:spacing w:line="360" w:lineRule="auto"/>
        <w:rPr>
          <w:rFonts w:ascii="黑体" w:cs="宋体"/>
          <w:b w:val="0"/>
          <w:color w:val="000000" w:themeColor="text1"/>
          <w:sz w:val="28"/>
          <w:szCs w:val="28"/>
          <w14:textFill>
            <w14:solidFill>
              <w14:schemeClr w14:val="tx1"/>
            </w14:solidFill>
          </w14:textFill>
        </w:rPr>
      </w:pPr>
      <w:bookmarkStart w:id="32" w:name="_Toc35393623"/>
      <w:bookmarkStart w:id="33" w:name="_Toc35393792"/>
      <w:r>
        <w:rPr>
          <w:rFonts w:hint="eastAsia" w:ascii="黑体" w:hAnsi="黑体" w:cs="宋体"/>
          <w:b w:val="0"/>
          <w:color w:val="000000" w:themeColor="text1"/>
          <w:sz w:val="28"/>
          <w:szCs w:val="28"/>
          <w14:textFill>
            <w14:solidFill>
              <w14:schemeClr w14:val="tx1"/>
            </w14:solidFill>
          </w14:textFill>
        </w:rPr>
        <w:t>三、获取磋商文件</w:t>
      </w:r>
      <w:bookmarkEnd w:id="30"/>
      <w:bookmarkEnd w:id="31"/>
      <w:bookmarkEnd w:id="32"/>
      <w:bookmarkEnd w:id="33"/>
    </w:p>
    <w:p>
      <w:pPr>
        <w:spacing w:line="360" w:lineRule="auto"/>
        <w:ind w:firstLine="5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时间：</w:t>
      </w:r>
      <w:r>
        <w:rPr>
          <w:rFonts w:ascii="仿宋" w:hAnsi="仿宋" w:eastAsia="仿宋" w:cs="宋体"/>
          <w:color w:val="000000" w:themeColor="text1"/>
          <w:sz w:val="28"/>
          <w:szCs w:val="28"/>
          <w:u w:val="single"/>
          <w14:textFill>
            <w14:solidFill>
              <w14:schemeClr w14:val="tx1"/>
            </w14:solidFill>
          </w14:textFill>
        </w:rPr>
        <w:t>自本公告发布之日起</w:t>
      </w:r>
      <w:r>
        <w:rPr>
          <w:rFonts w:hint="eastAsia" w:ascii="仿宋" w:hAnsi="仿宋" w:eastAsia="仿宋" w:cs="宋体"/>
          <w:color w:val="000000" w:themeColor="text1"/>
          <w:sz w:val="28"/>
          <w:szCs w:val="28"/>
          <w:u w:val="single"/>
          <w14:textFill>
            <w14:solidFill>
              <w14:schemeClr w14:val="tx1"/>
            </w14:solidFill>
          </w14:textFill>
        </w:rPr>
        <w:t>至2023年9月</w:t>
      </w:r>
      <w:r>
        <w:rPr>
          <w:rFonts w:hint="eastAsia" w:ascii="仿宋" w:hAnsi="仿宋" w:eastAsia="仿宋" w:cs="宋体"/>
          <w:color w:val="000000" w:themeColor="text1"/>
          <w:sz w:val="28"/>
          <w:szCs w:val="28"/>
          <w:u w:val="single"/>
          <w:lang w:val="en-US" w:eastAsia="zh-CN"/>
          <w14:textFill>
            <w14:solidFill>
              <w14:schemeClr w14:val="tx1"/>
            </w14:solidFill>
          </w14:textFill>
        </w:rPr>
        <w:t>12</w:t>
      </w:r>
      <w:r>
        <w:rPr>
          <w:rFonts w:hint="eastAsia" w:ascii="仿宋" w:hAnsi="仿宋" w:eastAsia="仿宋" w:cs="宋体"/>
          <w:color w:val="000000" w:themeColor="text1"/>
          <w:sz w:val="28"/>
          <w:szCs w:val="28"/>
          <w:u w:val="single"/>
          <w14:textFill>
            <w14:solidFill>
              <w14:schemeClr w14:val="tx1"/>
            </w14:solidFill>
          </w14:textFill>
        </w:rPr>
        <w:t>日9:30</w:t>
      </w:r>
    </w:p>
    <w:p>
      <w:pPr>
        <w:spacing w:line="360" w:lineRule="auto"/>
        <w:ind w:firstLine="540"/>
        <w:rPr>
          <w:rFonts w:ascii="仿宋" w:hAnsi="仿宋" w:eastAsia="仿宋" w:cs="宋体"/>
          <w:color w:val="000000" w:themeColor="text1"/>
          <w:sz w:val="28"/>
          <w:szCs w:val="28"/>
          <w:u w:val="single"/>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地点：</w:t>
      </w:r>
      <w:r>
        <w:rPr>
          <w:rFonts w:hint="eastAsia" w:ascii="仿宋" w:hAnsi="仿宋" w:eastAsia="仿宋"/>
          <w:color w:val="000000" w:themeColor="text1"/>
          <w:sz w:val="28"/>
          <w:szCs w:val="28"/>
          <w:u w:val="single"/>
          <w14:textFill>
            <w14:solidFill>
              <w14:schemeClr w14:val="tx1"/>
            </w14:solidFill>
          </w14:textFill>
        </w:rPr>
        <w:t>江苏大生集团有限公司官网</w:t>
      </w:r>
    </w:p>
    <w:p>
      <w:pPr>
        <w:spacing w:line="360" w:lineRule="auto"/>
        <w:ind w:firstLine="540"/>
        <w:rPr>
          <w:rFonts w:ascii="仿宋" w:hAnsi="仿宋" w:eastAsia="仿宋" w:cs="宋体"/>
          <w:color w:val="000000" w:themeColor="text1"/>
          <w:sz w:val="28"/>
          <w:szCs w:val="28"/>
          <w:u w:val="single"/>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方式：</w:t>
      </w:r>
      <w:r>
        <w:rPr>
          <w:rFonts w:hint="eastAsia" w:ascii="仿宋" w:hAnsi="仿宋" w:eastAsia="仿宋" w:cs="宋体"/>
          <w:color w:val="000000" w:themeColor="text1"/>
          <w:sz w:val="28"/>
          <w:szCs w:val="28"/>
          <w:u w:val="single"/>
          <w14:textFill>
            <w14:solidFill>
              <w14:schemeClr w14:val="tx1"/>
            </w14:solidFill>
          </w14:textFill>
        </w:rPr>
        <w:t>网上自行下载</w:t>
      </w:r>
    </w:p>
    <w:p>
      <w:pPr>
        <w:pStyle w:val="6"/>
        <w:spacing w:line="360" w:lineRule="auto"/>
        <w:rPr>
          <w:rFonts w:ascii="黑体" w:cs="宋体"/>
          <w:b w:val="0"/>
          <w:color w:val="000000" w:themeColor="text1"/>
          <w:sz w:val="28"/>
          <w:szCs w:val="28"/>
          <w14:textFill>
            <w14:solidFill>
              <w14:schemeClr w14:val="tx1"/>
            </w14:solidFill>
          </w14:textFill>
        </w:rPr>
      </w:pPr>
      <w:bookmarkStart w:id="34" w:name="_Toc28359082"/>
      <w:bookmarkStart w:id="35" w:name="_Toc28359005"/>
      <w:bookmarkStart w:id="36" w:name="_Toc35393624"/>
      <w:bookmarkStart w:id="37" w:name="_Toc35393793"/>
      <w:r>
        <w:rPr>
          <w:rFonts w:hint="eastAsia" w:ascii="黑体" w:hAnsi="黑体" w:cs="宋体"/>
          <w:b w:val="0"/>
          <w:color w:val="000000" w:themeColor="text1"/>
          <w:sz w:val="28"/>
          <w:szCs w:val="28"/>
          <w14:textFill>
            <w14:solidFill>
              <w14:schemeClr w14:val="tx1"/>
            </w14:solidFill>
          </w14:textFill>
        </w:rPr>
        <w:t>四、提交响应文件</w:t>
      </w:r>
      <w:bookmarkEnd w:id="34"/>
      <w:bookmarkEnd w:id="35"/>
      <w:r>
        <w:rPr>
          <w:rFonts w:hint="eastAsia" w:ascii="黑体" w:hAnsi="黑体" w:cs="宋体"/>
          <w:b w:val="0"/>
          <w:color w:val="000000" w:themeColor="text1"/>
          <w:sz w:val="28"/>
          <w:szCs w:val="28"/>
          <w14:textFill>
            <w14:solidFill>
              <w14:schemeClr w14:val="tx1"/>
            </w14:solidFill>
          </w14:textFill>
        </w:rPr>
        <w:t>截止时间、开标时间和地点</w:t>
      </w:r>
      <w:bookmarkEnd w:id="36"/>
      <w:bookmarkEnd w:id="37"/>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时间：2023年9月</w:t>
      </w:r>
      <w:r>
        <w:rPr>
          <w:rFonts w:hint="eastAsia" w:ascii="仿宋" w:hAnsi="仿宋" w:eastAsia="仿宋"/>
          <w:color w:val="000000" w:themeColor="text1"/>
          <w:sz w:val="28"/>
          <w:szCs w:val="28"/>
          <w:lang w:val="en-US" w:eastAsia="zh-CN"/>
          <w14:textFill>
            <w14:solidFill>
              <w14:schemeClr w14:val="tx1"/>
            </w14:solidFill>
          </w14:textFill>
        </w:rPr>
        <w:t>12</w:t>
      </w:r>
      <w:r>
        <w:rPr>
          <w:rFonts w:hint="eastAsia" w:ascii="仿宋" w:hAnsi="仿宋" w:eastAsia="仿宋"/>
          <w:color w:val="000000" w:themeColor="text1"/>
          <w:sz w:val="28"/>
          <w:szCs w:val="28"/>
          <w14:textFill>
            <w14:solidFill>
              <w14:schemeClr w14:val="tx1"/>
            </w14:solidFill>
          </w14:textFill>
        </w:rPr>
        <w:t>日9:30（北京时间）</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地点：南通市崇川区港闸经济开发区大生路1号4楼会议室，如有变动另行通知。</w:t>
      </w:r>
    </w:p>
    <w:p>
      <w:pPr>
        <w:pStyle w:val="6"/>
        <w:spacing w:line="360" w:lineRule="auto"/>
        <w:rPr>
          <w:rFonts w:ascii="黑体" w:cs="宋体"/>
          <w:b w:val="0"/>
          <w:color w:val="000000" w:themeColor="text1"/>
          <w:sz w:val="28"/>
          <w:szCs w:val="28"/>
          <w14:textFill>
            <w14:solidFill>
              <w14:schemeClr w14:val="tx1"/>
            </w14:solidFill>
          </w14:textFill>
        </w:rPr>
      </w:pPr>
      <w:bookmarkStart w:id="38" w:name="_Toc35393794"/>
      <w:bookmarkStart w:id="39" w:name="_Toc28359084"/>
      <w:bookmarkStart w:id="40" w:name="_Toc28359007"/>
      <w:bookmarkStart w:id="41" w:name="_Toc35393625"/>
      <w:r>
        <w:rPr>
          <w:rFonts w:hint="eastAsia" w:ascii="黑体" w:hAnsi="黑体" w:cs="宋体"/>
          <w:b w:val="0"/>
          <w:color w:val="000000" w:themeColor="text1"/>
          <w:sz w:val="28"/>
          <w:szCs w:val="28"/>
          <w14:textFill>
            <w14:solidFill>
              <w14:schemeClr w14:val="tx1"/>
            </w14:solidFill>
          </w14:textFill>
        </w:rPr>
        <w:t>五、公告期限</w:t>
      </w:r>
      <w:bookmarkEnd w:id="38"/>
      <w:bookmarkEnd w:id="39"/>
      <w:bookmarkEnd w:id="40"/>
      <w:bookmarkEnd w:id="41"/>
    </w:p>
    <w:p>
      <w:pPr>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3</w:t>
      </w:r>
      <w:r>
        <w:rPr>
          <w:rFonts w:hint="eastAsia" w:ascii="仿宋" w:hAnsi="仿宋" w:eastAsia="仿宋" w:cs="宋体"/>
          <w:color w:val="000000" w:themeColor="text1"/>
          <w:kern w:val="0"/>
          <w:sz w:val="28"/>
          <w:szCs w:val="28"/>
          <w14:textFill>
            <w14:solidFill>
              <w14:schemeClr w14:val="tx1"/>
            </w14:solidFill>
          </w14:textFill>
        </w:rPr>
        <w:t>个工作日。</w:t>
      </w:r>
    </w:p>
    <w:p>
      <w:pPr>
        <w:pStyle w:val="6"/>
        <w:spacing w:line="360" w:lineRule="auto"/>
        <w:rPr>
          <w:rFonts w:ascii="黑体" w:cs="宋体"/>
          <w:b w:val="0"/>
          <w:color w:val="000000" w:themeColor="text1"/>
          <w:sz w:val="28"/>
          <w:szCs w:val="28"/>
          <w14:textFill>
            <w14:solidFill>
              <w14:schemeClr w14:val="tx1"/>
            </w14:solidFill>
          </w14:textFill>
        </w:rPr>
      </w:pPr>
      <w:bookmarkStart w:id="42" w:name="_Toc35393626"/>
      <w:bookmarkStart w:id="43" w:name="_Toc35393795"/>
      <w:r>
        <w:rPr>
          <w:rFonts w:hint="eastAsia" w:ascii="黑体" w:hAnsi="黑体" w:cs="宋体"/>
          <w:b w:val="0"/>
          <w:color w:val="000000" w:themeColor="text1"/>
          <w:sz w:val="28"/>
          <w:szCs w:val="28"/>
          <w14:textFill>
            <w14:solidFill>
              <w14:schemeClr w14:val="tx1"/>
            </w14:solidFill>
          </w14:textFill>
        </w:rPr>
        <w:t>六、其他补充事宜</w:t>
      </w:r>
      <w:bookmarkEnd w:id="42"/>
      <w:bookmarkEnd w:id="43"/>
    </w:p>
    <w:p>
      <w:pPr>
        <w:spacing w:line="360" w:lineRule="auto"/>
        <w:rPr>
          <w:rFonts w:ascii="仿宋" w:hAnsi="仿宋" w:eastAsia="仿宋"/>
          <w:color w:val="000000" w:themeColor="text1"/>
          <w:sz w:val="28"/>
          <w:szCs w:val="28"/>
          <w14:textFill>
            <w14:solidFill>
              <w14:schemeClr w14:val="tx1"/>
            </w14:solidFill>
          </w14:textFill>
        </w:rPr>
      </w:pPr>
      <w:bookmarkStart w:id="44" w:name="_Toc35393627"/>
      <w:bookmarkStart w:id="45" w:name="_Toc35393796"/>
      <w:bookmarkStart w:id="46" w:name="_Toc28359085"/>
      <w:bookmarkStart w:id="47" w:name="_Toc28359008"/>
      <w:r>
        <w:rPr>
          <w:rFonts w:hint="eastAsia" w:ascii="仿宋" w:hAnsi="仿宋" w:eastAsia="仿宋"/>
          <w:color w:val="000000" w:themeColor="text1"/>
          <w:sz w:val="28"/>
          <w:szCs w:val="28"/>
          <w14:textFill>
            <w14:solidFill>
              <w14:schemeClr w14:val="tx1"/>
            </w14:solidFill>
          </w14:textFill>
        </w:rPr>
        <w:t xml:space="preserve">    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pStyle w:val="6"/>
        <w:spacing w:line="360" w:lineRule="auto"/>
        <w:rPr>
          <w:rFonts w:asci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七、对本次招标提出询问，请按以下方式联系。</w:t>
      </w:r>
      <w:bookmarkEnd w:id="44"/>
      <w:bookmarkEnd w:id="45"/>
      <w:bookmarkEnd w:id="46"/>
      <w:bookmarkEnd w:id="47"/>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1.采购人信息</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名 称：江苏大生集团有限公司　　　　　　　　　　　　</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地址：江苏南通市崇川区</w:t>
      </w:r>
      <w:r>
        <w:rPr>
          <w:rFonts w:hint="eastAsia" w:ascii="仿宋" w:hAnsi="仿宋" w:eastAsia="仿宋" w:cs="宋体"/>
          <w:color w:val="000000" w:themeColor="text1"/>
          <w:sz w:val="28"/>
          <w:szCs w:val="28"/>
          <w:lang w:val="en-US" w:eastAsia="zh-CN"/>
          <w14:textFill>
            <w14:solidFill>
              <w14:schemeClr w14:val="tx1"/>
            </w14:solidFill>
          </w14:textFill>
        </w:rPr>
        <w:t>大生路1</w:t>
      </w:r>
      <w:r>
        <w:rPr>
          <w:rFonts w:hint="eastAsia" w:ascii="仿宋" w:hAnsi="仿宋" w:eastAsia="仿宋" w:cs="宋体"/>
          <w:color w:val="000000" w:themeColor="text1"/>
          <w:sz w:val="28"/>
          <w:szCs w:val="28"/>
          <w14:textFill>
            <w14:solidFill>
              <w14:schemeClr w14:val="tx1"/>
            </w14:solidFill>
          </w14:textFill>
        </w:rPr>
        <w:t>号　　　　　　　　　　　　</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联系方式：18761797986　　　　　　　　　　　 </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2.采购代理机构信息</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名 称：江苏科建工程项目管理有限公司　　　　　　　　　　　　</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地　址：江苏省南通市崇川区北朱家园路28号佳成大厦三楼　　　　　　　　　　　　</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联系方式：张丽丽  0513-85110636，15951322510　　　　　　　　　　　　</w:t>
      </w:r>
    </w:p>
    <w:p>
      <w:pPr>
        <w:spacing w:line="360" w:lineRule="auto"/>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3.项目联系方式</w:t>
      </w: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 xml:space="preserve">    项目联系人：王</w:t>
      </w:r>
      <w:r>
        <w:rPr>
          <w:rFonts w:hint="eastAsia" w:ascii="仿宋" w:hAnsi="仿宋" w:eastAsia="仿宋" w:cs="宋体"/>
          <w:color w:val="000000" w:themeColor="text1"/>
          <w:sz w:val="28"/>
          <w:szCs w:val="28"/>
          <w:lang w:val="en-US" w:eastAsia="zh-CN"/>
          <w14:textFill>
            <w14:solidFill>
              <w14:schemeClr w14:val="tx1"/>
            </w14:solidFill>
          </w14:textFill>
        </w:rPr>
        <w:t>先生</w:t>
      </w:r>
      <w:r>
        <w:rPr>
          <w:rFonts w:hint="eastAsia" w:ascii="仿宋" w:hAnsi="仿宋" w:eastAsia="仿宋" w:cs="宋体"/>
          <w:color w:val="000000" w:themeColor="text1"/>
          <w:sz w:val="28"/>
          <w:szCs w:val="28"/>
          <w14:textFill>
            <w14:solidFill>
              <w14:schemeClr w14:val="tx1"/>
            </w14:solidFill>
          </w14:textFill>
        </w:rPr>
        <w:t xml:space="preserve">    电　话：18761797986</w:t>
      </w: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pStyle w:val="2"/>
        <w:ind w:left="1995" w:firstLine="480"/>
      </w:pPr>
    </w:p>
    <w:p>
      <w:pPr>
        <w:pStyle w:val="2"/>
        <w:ind w:left="1995" w:firstLine="480"/>
      </w:pPr>
    </w:p>
    <w:p>
      <w:pPr>
        <w:pStyle w:val="2"/>
        <w:ind w:left="1995" w:firstLine="480"/>
      </w:pPr>
    </w:p>
    <w:p>
      <w:pPr>
        <w:pStyle w:val="2"/>
        <w:ind w:left="1995" w:firstLine="480"/>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2235" w:leftChars="150" w:hanging="1920" w:hangingChars="800"/>
        <w:jc w:val="left"/>
        <w:rPr>
          <w:rFonts w:ascii="宋体" w:hAnsi="宋体" w:cs="宋体"/>
          <w:snapToGrid w:val="0"/>
          <w:color w:val="000000" w:themeColor="text1"/>
          <w:kern w:val="0"/>
          <w:sz w:val="24"/>
          <w:szCs w:val="24"/>
          <w14:textFill>
            <w14:solidFill>
              <w14:schemeClr w14:val="tx1"/>
            </w14:solidFill>
          </w14:textFill>
        </w:rPr>
      </w:pPr>
    </w:p>
    <w:p>
      <w:pPr>
        <w:spacing w:line="480" w:lineRule="exact"/>
        <w:ind w:left="3145" w:leftChars="150" w:hanging="2830" w:hangingChars="800"/>
        <w:jc w:val="left"/>
        <w:rPr>
          <w:rFonts w:ascii="宋体"/>
          <w:color w:val="000000" w:themeColor="text1"/>
          <w:w w:val="80"/>
          <w14:textFill>
            <w14:solidFill>
              <w14:schemeClr w14:val="tx1"/>
            </w14:solidFill>
          </w14:textFill>
        </w:rPr>
      </w:pPr>
      <w:r>
        <w:rPr>
          <w:rFonts w:hint="eastAsia" w:ascii="宋体" w:hAnsi="宋体" w:cs="宋体"/>
          <w:b/>
          <w:bCs/>
          <w:color w:val="000000" w:themeColor="text1"/>
          <w:w w:val="80"/>
          <w:sz w:val="44"/>
          <w:szCs w:val="44"/>
          <w14:textFill>
            <w14:solidFill>
              <w14:schemeClr w14:val="tx1"/>
            </w14:solidFill>
          </w14:textFill>
        </w:rPr>
        <w:t xml:space="preserve">                第二章</w:t>
      </w:r>
      <w:bookmarkEnd w:id="10"/>
      <w:bookmarkEnd w:id="11"/>
      <w:bookmarkEnd w:id="12"/>
      <w:bookmarkEnd w:id="13"/>
      <w:bookmarkEnd w:id="14"/>
      <w:bookmarkEnd w:id="15"/>
      <w:bookmarkEnd w:id="16"/>
      <w:bookmarkEnd w:id="17"/>
      <w:bookmarkEnd w:id="18"/>
      <w:bookmarkEnd w:id="19"/>
      <w:r>
        <w:rPr>
          <w:rFonts w:hint="eastAsia" w:ascii="宋体" w:hAnsi="宋体" w:cs="宋体"/>
          <w:b/>
          <w:bCs/>
          <w:color w:val="000000" w:themeColor="text1"/>
          <w:w w:val="80"/>
          <w:sz w:val="44"/>
          <w:szCs w:val="44"/>
          <w14:textFill>
            <w14:solidFill>
              <w14:schemeClr w14:val="tx1"/>
            </w14:solidFill>
          </w14:textFill>
        </w:rPr>
        <w:t xml:space="preserve">  磋商供应商须知</w:t>
      </w:r>
      <w:bookmarkEnd w:id="20"/>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bookmarkStart w:id="48" w:name="_Toc11499585"/>
      <w:bookmarkStart w:id="49" w:name="_Toc94544871"/>
      <w:bookmarkStart w:id="50" w:name="_Toc11554640"/>
      <w:bookmarkStart w:id="51" w:name="_Toc8895740"/>
      <w:bookmarkStart w:id="52" w:name="_Toc11500281"/>
      <w:bookmarkStart w:id="53" w:name="_Toc94585341"/>
      <w:bookmarkStart w:id="54" w:name="_Toc521201598"/>
      <w:bookmarkStart w:id="55" w:name="_Toc12670504"/>
      <w:bookmarkStart w:id="56" w:name="_Toc521203419"/>
      <w:bookmarkStart w:id="57" w:name="_Toc94544745"/>
      <w:r>
        <w:rPr>
          <w:rFonts w:hint="eastAsia" w:ascii="宋体" w:hAnsi="宋体" w:cs="宋体"/>
          <w:b/>
          <w:bCs/>
          <w:color w:val="000000" w:themeColor="text1"/>
          <w:sz w:val="24"/>
          <w:szCs w:val="24"/>
          <w14:textFill>
            <w14:solidFill>
              <w14:schemeClr w14:val="tx1"/>
            </w14:solidFill>
          </w14:textFill>
        </w:rPr>
        <w:t>一、说明</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、本竞争性磋商文件仅适用于江苏科建工程项目管理有限公司组织的竞争性磋商采购活动。</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、竞争性磋商活动及因本次磋商产生的合同受中国法律制约和保护。</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、竞争性磋商文件的解释权属于江苏大生集团有限公司。</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供应商在知道或应当知道本项目采购公告及采购文件中的所有内容：如内容或页码短缺、资格要求和技术参数出现倾向性或排他性等表述的，应在本项目采购公告期限及期限届满之日后提出询问或以书面实名制形式提出质疑；未提出询问、质疑或是未在规定期间内提出询问、质疑的，视作供应商接受本项目采购公告及采购</w:t>
      </w:r>
      <w:r>
        <w:rPr>
          <w:rFonts w:hint="eastAsia" w:ascii="宋体" w:hAnsi="宋体" w:cs="宋体"/>
          <w:color w:val="000000" w:themeColor="text1"/>
          <w:sz w:val="24"/>
          <w14:textFill>
            <w14:solidFill>
              <w14:schemeClr w14:val="tx1"/>
            </w14:solidFill>
          </w14:textFill>
        </w:rPr>
        <w:t>文件中的全部内容；供应商不得在采购活动期间及采购结束后针对本项目采购公告及采购文件中的所有内容提出质疑、投诉。</w:t>
      </w:r>
      <w:r>
        <w:rPr>
          <w:rFonts w:hint="eastAsia" w:ascii="宋体" w:hAnsi="宋体" w:cs="宋体"/>
          <w:b/>
          <w:bCs/>
          <w:color w:val="000000" w:themeColor="text1"/>
          <w:sz w:val="24"/>
          <w14:textFill>
            <w14:solidFill>
              <w14:schemeClr w14:val="tx1"/>
            </w14:solidFill>
          </w14:textFill>
        </w:rPr>
        <w:t>非书面形式的不作为日后质疑提出的依据</w:t>
      </w:r>
      <w:r>
        <w:rPr>
          <w:rFonts w:hint="eastAsia" w:ascii="宋体" w:hAnsi="宋体"/>
          <w:b/>
          <w:bCs/>
          <w:color w:val="000000" w:themeColor="text1"/>
          <w:sz w:val="24"/>
          <w14:textFill>
            <w14:solidFill>
              <w14:schemeClr w14:val="tx1"/>
            </w14:solidFill>
          </w14:textFill>
        </w:rPr>
        <w:t>。</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、供应商应认真审阅磋商文件中所有的事项、格式、条款和规范要求等，如果供应商没有按照磋商文件要求提交响应文件，或者响应文件没有对磋商文件做出实质性响应，将被拒绝参与项目的磋商。</w:t>
      </w:r>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二、磋商文件的澄清、修改、答疑</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、代理机构有权对发出的磋商文件进行必要的澄清、修改或补充。</w:t>
      </w:r>
    </w:p>
    <w:p>
      <w:pPr>
        <w:snapToGrid w:val="0"/>
        <w:spacing w:line="480" w:lineRule="exact"/>
        <w:ind w:firstLine="480" w:firstLineChars="200"/>
        <w:jc w:val="lef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、磋商文件的澄清、修改、补充等内容均以书面明确的形式发布，并以“江苏大生集团有限公司官网”发布的信息为准。</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、代理机构对磋商文件的澄清、修改将构成磋商文件的一部分，对响应磋商的供应商具有约束力。</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补充说明、澄清或修改的内容可能影响到竞争性磋商响应文件编制的，采购代理机构将在首次提交竞争性磋商响应文件截止日5天前，发布补充说明、澄清或修改公告。不足5日的，应当顺延首次提交竞争性磋商响应文件截止之日。</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、除非代理机构以书面的形式对磋商文件作出澄清、修改及补充，供应商对涉及磋商文件的任何推论、理解和结论所造成的结果，均由供应商自负。</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、采购单位视情组织答疑会。如有产生答疑且对磋商文件内容有修改，代理机构将按照本须知有关规定，以补充通知（公告）的方式发出。</w:t>
      </w:r>
    </w:p>
    <w:p>
      <w:pPr>
        <w:snapToGrid w:val="0"/>
        <w:spacing w:line="48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三、响应文件的编制及装订</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供应商按磋商文件要求编写响应文件，并牢固装订成册。响应文件均需采用</w:t>
      </w:r>
      <w:r>
        <w:rPr>
          <w:rFonts w:ascii="宋体" w:hAnsi="宋体" w:cs="宋体"/>
          <w:color w:val="000000" w:themeColor="text1"/>
          <w:sz w:val="24"/>
          <w:szCs w:val="24"/>
          <w14:textFill>
            <w14:solidFill>
              <w14:schemeClr w14:val="tx1"/>
            </w14:solidFill>
          </w14:textFill>
        </w:rPr>
        <w:t>A4</w:t>
      </w:r>
      <w:r>
        <w:rPr>
          <w:rFonts w:hint="eastAsia" w:ascii="宋体" w:hAnsi="宋体" w:cs="宋体"/>
          <w:color w:val="000000" w:themeColor="text1"/>
          <w:sz w:val="24"/>
          <w:szCs w:val="24"/>
          <w14:textFill>
            <w14:solidFill>
              <w14:schemeClr w14:val="tx1"/>
            </w14:solidFill>
          </w14:textFill>
        </w:rPr>
        <w:t>纸（图纸等除外），不允许使用活页夹、拉杆夹、文件夹、塑料方便式书脊（插入式或穿孔式）装订。响应文件不得行间插字、涂改、增删，如修改错漏处，须经响应文件签署人签字并加盖公章。</w:t>
      </w:r>
    </w:p>
    <w:p>
      <w:pPr>
        <w:snapToGrid w:val="0"/>
        <w:spacing w:line="360" w:lineRule="auto"/>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四、响应文件的份数和签署</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、响应文件由：</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1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资格审查文件、</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2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②</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技术响应文件、</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3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③</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商务报价响应文件，共</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部分组成（以下由文件序号代称）。</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、响应文件均为一式叁份，其中“正本”壹份和“副本”贰份。</w:t>
      </w:r>
    </w:p>
    <w:p>
      <w:pPr>
        <w:snapToGrid w:val="0"/>
        <w:spacing w:line="360" w:lineRule="auto"/>
        <w:ind w:firstLine="470" w:firstLineChars="196"/>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、在每份响应文件上要明确标注项目名称、对应的响应文件名称、供应商的全称、日期、“正本”、“副本”字样。“正本”和“副本”若有差异，概以“正本”为准。</w:t>
      </w:r>
    </w:p>
    <w:p>
      <w:pPr>
        <w:snapToGrid w:val="0"/>
        <w:spacing w:line="360" w:lineRule="auto"/>
        <w:ind w:firstLine="470" w:firstLineChars="196"/>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、供应商可将响应文件正副本统一密封或分别密封，如正本和副本分别密封的，应在封袋上标明正、副本字样。</w:t>
      </w:r>
    </w:p>
    <w:p>
      <w:pPr>
        <w:snapToGrid w:val="0"/>
        <w:spacing w:line="360" w:lineRule="auto"/>
        <w:ind w:firstLine="470" w:firstLineChars="196"/>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、响应文件中的所有“正本”，其正文内容</w:t>
      </w:r>
    </w:p>
    <w:p>
      <w:pPr>
        <w:snapToGrid w:val="0"/>
        <w:spacing w:line="360" w:lineRule="auto"/>
        <w:ind w:firstLine="470" w:firstLineChars="196"/>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须按磋商文件要求由供应商法定代表人或被授权人签字（或盖章）并加盖单位公章。“副本”可复印，但须加盖单位公章。</w:t>
      </w:r>
    </w:p>
    <w:p>
      <w:pPr>
        <w:snapToGrid w:val="0"/>
        <w:spacing w:line="360" w:lineRule="auto"/>
        <w:ind w:firstLine="472" w:firstLineChars="196"/>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五、响应文件的密封及标记</w:t>
      </w:r>
    </w:p>
    <w:p>
      <w:pPr>
        <w:snapToGrid w:val="0"/>
        <w:spacing w:line="360" w:lineRule="auto"/>
        <w:ind w:firstLine="480" w:firstLineChars="200"/>
        <w:rPr>
          <w:rFonts w:ascii="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、供应商须将本项目响应文件：</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1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2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②</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、③</w:t>
      </w:r>
      <w:r>
        <w:rPr>
          <w:rFonts w:hint="eastAsia" w:ascii="宋体" w:hAnsi="宋体" w:cs="宋体"/>
          <w:b/>
          <w:bCs/>
          <w:color w:val="000000" w:themeColor="text1"/>
          <w:sz w:val="24"/>
          <w:szCs w:val="24"/>
          <w14:textFill>
            <w14:solidFill>
              <w14:schemeClr w14:val="tx1"/>
            </w14:solidFill>
          </w14:textFill>
        </w:rPr>
        <w:t>单独密封</w:t>
      </w:r>
      <w:r>
        <w:rPr>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、密封后，应在每一密封的响应文件上明确标注磋商项目名称、响应文件各自对应的名称、供应商的全称及日期。</w:t>
      </w:r>
    </w:p>
    <w:p>
      <w:pPr>
        <w:snapToGrid w:val="0"/>
        <w:spacing w:line="360" w:lineRule="auto"/>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、在边缝处加盖供应商公章或骑缝签字。</w:t>
      </w:r>
    </w:p>
    <w:p>
      <w:pPr>
        <w:snapToGrid w:val="0"/>
        <w:spacing w:line="360" w:lineRule="auto"/>
        <w:ind w:firstLine="472" w:firstLineChars="196"/>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【特别提醒】</w:t>
      </w:r>
      <w:r>
        <w:rPr>
          <w:rFonts w:hint="eastAsia" w:ascii="宋体" w:hAnsi="宋体" w:cs="宋体"/>
          <w:color w:val="000000" w:themeColor="text1"/>
          <w:sz w:val="24"/>
          <w:szCs w:val="24"/>
          <w14:textFill>
            <w14:solidFill>
              <w14:schemeClr w14:val="tx1"/>
            </w14:solidFill>
          </w14:textFill>
        </w:rPr>
        <w:t>响应文件中的</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1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和</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2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②</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的“正本”或“副本”中，均不得含有商务报价响应文件中报价表（报价单）内的任何项目价格，否则作无效投标处理。</w:t>
      </w:r>
    </w:p>
    <w:p>
      <w:pPr>
        <w:snapToGrid w:val="0"/>
        <w:spacing w:line="360" w:lineRule="auto"/>
        <w:ind w:firstLine="472" w:firstLineChars="196"/>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六、</w:t>
      </w:r>
      <w:r>
        <w:rPr>
          <w:rFonts w:ascii="宋体" w:hAnsi="宋体" w:cs="宋体"/>
          <w:b/>
          <w:color w:val="000000" w:themeColor="text1"/>
          <w:sz w:val="24"/>
          <w:szCs w:val="24"/>
          <w14:textFill>
            <w14:solidFill>
              <w14:schemeClr w14:val="tx1"/>
            </w14:solidFill>
          </w14:textFill>
        </w:rPr>
        <w:t>递交时间</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供应商须在规定的投标文件接收截止时间前送达指定地点。供应商送达投标文件，即视为已投标参加采购活动。</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友情提醒：代理机构将拒绝接收未按照招标文件要求密封的投标文件，拒绝接收在投标文件接收截止时间后递交的投标文件。如果供应商无故不到现场递交纸质投标文件或者故意迟到，影响开评标活动正常进行的，将被列作一般失信行为。</w:t>
      </w:r>
    </w:p>
    <w:p>
      <w:pPr>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七、投标文件的有效期</w:t>
      </w:r>
    </w:p>
    <w:p>
      <w:pPr>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1、从投标文件接收截止之日算起，</w:t>
      </w:r>
      <w:r>
        <w:rPr>
          <w:rFonts w:hint="eastAsia" w:ascii="宋体" w:hAnsi="宋体" w:cs="宋体"/>
          <w:b/>
          <w:color w:val="000000" w:themeColor="text1"/>
          <w:sz w:val="24"/>
          <w14:textFill>
            <w14:solidFill>
              <w14:schemeClr w14:val="tx1"/>
            </w14:solidFill>
          </w14:textFill>
        </w:rPr>
        <w:t>45</w:t>
      </w:r>
      <w:r>
        <w:rPr>
          <w:rFonts w:hint="eastAsia" w:ascii="宋体" w:hAnsi="宋体" w:cs="宋体"/>
          <w:color w:val="000000" w:themeColor="text1"/>
          <w:sz w:val="24"/>
          <w14:textFill>
            <w14:solidFill>
              <w14:schemeClr w14:val="tx1"/>
            </w14:solidFill>
          </w14:textFill>
        </w:rPr>
        <w:t>个“日历天”内投标书应保持有效。有效期短于这个规定期限的，投标将被拒绝。</w:t>
      </w:r>
    </w:p>
    <w:p>
      <w:pPr>
        <w:snapToGrid w:val="0"/>
        <w:spacing w:line="460" w:lineRule="exact"/>
        <w:ind w:firstLine="470" w:firstLineChars="196"/>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特殊情况下，采购代理机构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360" w:lineRule="auto"/>
        <w:ind w:firstLine="496" w:firstLineChars="206"/>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八、磋商报价</w:t>
      </w:r>
    </w:p>
    <w:p>
      <w:pPr>
        <w:snapToGrid w:val="0"/>
        <w:spacing w:line="360" w:lineRule="auto"/>
        <w:ind w:firstLine="494" w:firstLineChars="206"/>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、本项目不接受任何有选择的报价。</w:t>
      </w:r>
    </w:p>
    <w:p>
      <w:pPr>
        <w:snapToGrid w:val="0"/>
        <w:spacing w:line="360" w:lineRule="auto"/>
        <w:ind w:firstLine="494" w:firstLineChars="206"/>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、磋商报价均以人民币为报价的币种。</w:t>
      </w:r>
    </w:p>
    <w:p>
      <w:pPr>
        <w:snapToGrid w:val="0"/>
        <w:spacing w:line="360" w:lineRule="auto"/>
        <w:ind w:firstLine="494" w:firstLineChars="206"/>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、磋商报价表必须加盖单位公章且必须经法定代表人或被授权人签字或盖章。报价表中的大写金额与小写金额、总价金额与按单价汇总金额，若有差异，将执行财政部公布第</w:t>
      </w:r>
      <w:r>
        <w:rPr>
          <w:rFonts w:ascii="宋体" w:hAnsi="宋体" w:cs="宋体"/>
          <w:color w:val="000000" w:themeColor="text1"/>
          <w:sz w:val="24"/>
          <w:szCs w:val="24"/>
          <w14:textFill>
            <w14:solidFill>
              <w14:schemeClr w14:val="tx1"/>
            </w14:solidFill>
          </w14:textFill>
        </w:rPr>
        <w:t>87</w:t>
      </w:r>
      <w:r>
        <w:rPr>
          <w:rFonts w:hint="eastAsia" w:ascii="宋体" w:hAnsi="宋体" w:cs="宋体"/>
          <w:color w:val="000000" w:themeColor="text1"/>
          <w:sz w:val="24"/>
          <w:szCs w:val="24"/>
          <w14:textFill>
            <w14:solidFill>
              <w14:schemeClr w14:val="tx1"/>
            </w14:solidFill>
          </w14:textFill>
        </w:rPr>
        <w:t>号令《政府采购货物和服务招标投标管理办法》第</w:t>
      </w:r>
      <w:r>
        <w:rPr>
          <w:rFonts w:ascii="宋体" w:hAnsi="宋体" w:cs="宋体"/>
          <w:color w:val="000000" w:themeColor="text1"/>
          <w:sz w:val="24"/>
          <w:szCs w:val="24"/>
          <w14:textFill>
            <w14:solidFill>
              <w14:schemeClr w14:val="tx1"/>
            </w14:solidFill>
          </w14:textFill>
        </w:rPr>
        <w:t>59</w:t>
      </w:r>
      <w:r>
        <w:rPr>
          <w:rFonts w:hint="eastAsia" w:ascii="宋体" w:hAnsi="宋体" w:cs="宋体"/>
          <w:color w:val="000000" w:themeColor="text1"/>
          <w:sz w:val="24"/>
          <w:szCs w:val="24"/>
          <w14:textFill>
            <w14:solidFill>
              <w14:schemeClr w14:val="tx1"/>
            </w14:solidFill>
          </w14:textFill>
        </w:rPr>
        <w:t>条的规定。</w:t>
      </w:r>
    </w:p>
    <w:p>
      <w:pPr>
        <w:snapToGrid w:val="0"/>
        <w:spacing w:line="360" w:lineRule="auto"/>
        <w:ind w:firstLine="480" w:firstLineChars="200"/>
        <w:rPr>
          <w:rFonts w:hint="eastAsia"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磋商响应报价是设计及其方案论证通过所包含的全部费用，是包括采购的所有服务以及项目所产生的成果或是采购人在项目过程中需要服务供应商所提交的资料（包括书面及电子）、保险、利润、税金、培训、政策性文件规定及合同包含的所有风险、责任等各项应有费用。</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5、除非因特殊原因并经买卖双方协商同意，成交的供应商（以下称成交人）不得再要求追加任何费用。同时，除非合同条款中另有规定，否则，成交人的成交价在合同实施期间不因市场变化因素而变动。</w:t>
      </w:r>
    </w:p>
    <w:p>
      <w:pPr>
        <w:snapToGrid w:val="0"/>
        <w:spacing w:line="360" w:lineRule="auto"/>
        <w:ind w:firstLine="496" w:firstLineChars="206"/>
        <w:outlineLvl w:val="1"/>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九、项目涉及到的现场勘察</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磋商文件所提供的项目相关数据仅供参考，根据自身需要，供应商可在磋商响应文件递交日前自行对有关现场和周围环境进行勘察，以获取编制磋商响应文件所需的信息。勘察现场如有费用产生，由供应商自行承担。</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2、采购人向供应商提供有关现场的资料和数据，是采购人现有的并认为能使供应商可利用的资料。采购人对供应商由此而做出的推论、理解和结论概不负责。</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3、潜在供应商为响应项目而勘察现场，但不得因此使采购人承担有关的责任和蒙受损失。供应商须承担勘察现场而带来的一切责任及风险。</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应在现场勘察时，熟悉现场及周围交通道路等情况，以获得一切可能影响磋商响应内容的直接资料。供应商成交后，不得以不完全了解现场情况为理由而向采购人提出任何索赔的要求，对此采购人不承担任何责任，并且将不作任何答复。</w:t>
      </w:r>
    </w:p>
    <w:p>
      <w:pPr>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十、磋商响应费用</w:t>
      </w:r>
    </w:p>
    <w:p>
      <w:pPr>
        <w:snapToGrid w:val="0"/>
        <w:spacing w:line="480" w:lineRule="exact"/>
        <w:ind w:firstLine="460" w:firstLineChars="192"/>
        <w:rPr>
          <w:rFonts w:ascii="宋体" w:hAnsi="宋体" w:cs="宋体"/>
          <w:color w:val="000000"/>
          <w:sz w:val="24"/>
        </w:rPr>
      </w:pPr>
      <w:r>
        <w:rPr>
          <w:rFonts w:hint="eastAsia" w:ascii="宋体" w:hAnsi="宋体" w:cs="宋体"/>
          <w:color w:val="000000"/>
          <w:sz w:val="24"/>
        </w:rPr>
        <w:t>1.各供应商须在递交响应文件的同时缴纳文件报名费300元。无论是否成交，该费用不予退还。</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2.中标人应在领取中标通知书时向招标代理人一次性支付评标费和招标代理费2000元，请投标人将此项费用考虑在总报价中，不单列。</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代理费由成交单位在领取成交通知书前支付给代理公司，成交金额以成交总价为准。</w:t>
      </w:r>
    </w:p>
    <w:p>
      <w:pPr>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响应的供应商自行考虑包含在报价内的该项费用及风险并将其综合在单价内，不得单列。</w:t>
      </w:r>
    </w:p>
    <w:p>
      <w:pPr>
        <w:snapToGrid w:val="0"/>
        <w:spacing w:line="360" w:lineRule="auto"/>
        <w:ind w:firstLine="472" w:firstLineChars="196"/>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十一、联合体参与磋商</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不接受任何形式的联合体参与本项目的竞争性磋商。</w:t>
      </w:r>
    </w:p>
    <w:p>
      <w:pPr>
        <w:snapToGrid w:val="0"/>
        <w:spacing w:line="360" w:lineRule="auto"/>
        <w:ind w:firstLine="472" w:firstLineChars="196"/>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十二、响应文件及磋商费用</w:t>
      </w:r>
    </w:p>
    <w:p>
      <w:pPr>
        <w:snapToGrid w:val="0"/>
        <w:spacing w:line="360" w:lineRule="auto"/>
        <w:ind w:firstLine="472" w:firstLineChars="196"/>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1、磋商程序顺利进行后，除供应商的原件可退回外，其余所有的响应文件都将作为档案保存，不论成交与否，代理机构均不退回（未拆封的除外）。</w:t>
      </w:r>
    </w:p>
    <w:p>
      <w:pPr>
        <w:snapToGrid w:val="0"/>
        <w:spacing w:line="360" w:lineRule="auto"/>
        <w:ind w:firstLine="472" w:firstLineChars="196"/>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2、无论磋商过程和结果如何，参加项目磋商的供应商自行承担与本次项目磋商有关的全部费用。</w:t>
      </w:r>
    </w:p>
    <w:p>
      <w:pPr>
        <w:snapToGrid w:val="0"/>
        <w:spacing w:line="360" w:lineRule="auto"/>
        <w:ind w:firstLine="472" w:firstLineChars="196"/>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十三、履约保证金</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1、本项目成交后的履约保证金为项目成交价的</w:t>
      </w:r>
      <w:r>
        <w:rPr>
          <w:rFonts w:hint="eastAsia" w:ascii="宋体" w:hAnsi="宋体" w:cs="宋体"/>
          <w:color w:val="000000" w:themeColor="text1"/>
          <w:sz w:val="24"/>
          <w:szCs w:val="24"/>
          <w:u w:val="single"/>
          <w14:textFill>
            <w14:solidFill>
              <w14:schemeClr w14:val="tx1"/>
            </w14:solidFill>
          </w14:textFill>
        </w:rPr>
        <w:t xml:space="preserve">5%  </w:t>
      </w:r>
      <w:r>
        <w:rPr>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2、成交供应商可以选择以</w:t>
      </w:r>
      <w:r>
        <w:rPr>
          <w:rFonts w:hint="eastAsia" w:ascii="宋体" w:hAnsi="宋体" w:cs="宋体"/>
          <w:color w:val="000000" w:themeColor="text1"/>
          <w:sz w:val="24"/>
          <w:szCs w:val="24"/>
          <w:u w:val="single"/>
          <w14:textFill>
            <w14:solidFill>
              <w14:schemeClr w14:val="tx1"/>
            </w14:solidFill>
          </w14:textFill>
        </w:rPr>
        <w:t xml:space="preserve">  支票、汇票、本票或者金融机构、担保机构出具的保函、履约保证保险  </w:t>
      </w:r>
      <w:r>
        <w:rPr>
          <w:rFonts w:hint="eastAsia" w:ascii="宋体" w:hAnsi="宋体" w:cs="宋体"/>
          <w:color w:val="000000" w:themeColor="text1"/>
          <w:sz w:val="24"/>
          <w:szCs w:val="24"/>
          <w14:textFill>
            <w14:solidFill>
              <w14:schemeClr w14:val="tx1"/>
            </w14:solidFill>
          </w14:textFill>
        </w:rPr>
        <w:t>等非现金形式缴纳履约保证金。</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3、成交供应商在中标通知书发出之日起15日内，凭“中标通知书”和“履约保证金”的缴纳凭证，与采购人签订合同，超期或未有协商，则视为自动放弃成交资格。</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4、成交供应商在按要求保质保量的完成该项目合同并通过验收后，采购人凭成交供应商提交的申请，一次性无息退还该合同项目的履约保证金。（保险除外）</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5、由于成交供应商原因，在签订合同后出现不按合同履行的情况，采购单位有权将履约保证金作为违约金，全额不予退还，同时采购单位亦有权终止合同，成交供应商还须承担相应的法律赔偿责任。</w:t>
      </w:r>
    </w:p>
    <w:p>
      <w:pPr>
        <w:snapToGrid w:val="0"/>
        <w:spacing w:line="360" w:lineRule="auto"/>
        <w:ind w:firstLine="472" w:firstLineChars="196"/>
        <w:outlineLvl w:val="1"/>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十四、未尽事宜</w:t>
      </w:r>
    </w:p>
    <w:p>
      <w:pPr>
        <w:snapToGrid w:val="0"/>
        <w:spacing w:line="360" w:lineRule="auto"/>
        <w:ind w:firstLine="470" w:firstLineChars="196"/>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按《中华人民共和国政府采购法》、《政府采购竞争性磋商采购方式管理暂行办法》及其他有关法律法规的规定执行。</w:t>
      </w:r>
    </w:p>
    <w:p>
      <w:pPr>
        <w:spacing w:line="360" w:lineRule="auto"/>
        <w:rPr>
          <w:rFonts w:ascii="宋体" w:hAnsi="宋体" w:cs="宋体"/>
          <w:color w:val="000000" w:themeColor="text1"/>
          <w:sz w:val="24"/>
          <w:szCs w:val="24"/>
          <w14:textFill>
            <w14:solidFill>
              <w14:schemeClr w14:val="tx1"/>
            </w14:solidFill>
          </w14:textFill>
        </w:rPr>
        <w:sectPr>
          <w:headerReference r:id="rId9" w:type="default"/>
          <w:footerReference r:id="rId10" w:type="default"/>
          <w:type w:val="continuous"/>
          <w:pgSz w:w="11906" w:h="16838"/>
          <w:pgMar w:top="1134" w:right="1134" w:bottom="1134" w:left="1225" w:header="851" w:footer="992" w:gutter="0"/>
          <w:pgNumType w:fmt="numberInDash"/>
          <w:cols w:space="720" w:num="1"/>
          <w:docGrid w:linePitch="312" w:charSpace="0"/>
        </w:sectPr>
      </w:pPr>
      <w:bookmarkStart w:id="58" w:name="_Toc363573855"/>
    </w:p>
    <w:bookmarkEnd w:id="48"/>
    <w:bookmarkEnd w:id="49"/>
    <w:bookmarkEnd w:id="50"/>
    <w:bookmarkEnd w:id="51"/>
    <w:bookmarkEnd w:id="52"/>
    <w:bookmarkEnd w:id="53"/>
    <w:bookmarkEnd w:id="54"/>
    <w:bookmarkEnd w:id="55"/>
    <w:bookmarkEnd w:id="56"/>
    <w:bookmarkEnd w:id="57"/>
    <w:bookmarkEnd w:id="58"/>
    <w:p>
      <w:pPr>
        <w:spacing w:line="360" w:lineRule="auto"/>
        <w:jc w:val="center"/>
        <w:rPr>
          <w:rFonts w:ascii="宋体" w:hAnsi="宋体" w:cs="宋体"/>
          <w:color w:val="000000" w:themeColor="text1"/>
          <w:sz w:val="24"/>
          <w:szCs w:val="24"/>
          <w14:textFill>
            <w14:solidFill>
              <w14:schemeClr w14:val="tx1"/>
            </w14:solidFill>
          </w14:textFill>
        </w:rPr>
      </w:pPr>
      <w:bookmarkStart w:id="59" w:name="_Toc11500282"/>
      <w:bookmarkStart w:id="60" w:name="_Toc94585342"/>
      <w:bookmarkStart w:id="61" w:name="_Toc11554641"/>
      <w:bookmarkStart w:id="62" w:name="_Toc94544746"/>
      <w:bookmarkStart w:id="63" w:name="_Toc11499586"/>
      <w:bookmarkStart w:id="64" w:name="_Toc363573856"/>
      <w:bookmarkStart w:id="65" w:name="_Toc521203420"/>
      <w:bookmarkStart w:id="66" w:name="_Toc94544872"/>
      <w:bookmarkStart w:id="67" w:name="_Toc13803483"/>
      <w:bookmarkStart w:id="68" w:name="_Toc12670505"/>
      <w:bookmarkStart w:id="69" w:name="_Toc8895741"/>
      <w:bookmarkStart w:id="70" w:name="_Toc521201599"/>
      <w:r>
        <w:rPr>
          <w:rFonts w:hint="eastAsia" w:ascii="宋体" w:hAnsi="宋体" w:cs="宋体"/>
          <w:b/>
          <w:bCs/>
          <w:color w:val="000000" w:themeColor="text1"/>
          <w:w w:val="80"/>
          <w:sz w:val="44"/>
          <w:szCs w:val="44"/>
          <w14:textFill>
            <w14:solidFill>
              <w14:schemeClr w14:val="tx1"/>
            </w14:solidFill>
          </w14:textFill>
        </w:rPr>
        <w:t>第三章  项目需求</w:t>
      </w:r>
    </w:p>
    <w:bookmarkEnd w:id="59"/>
    <w:bookmarkEnd w:id="60"/>
    <w:bookmarkEnd w:id="61"/>
    <w:bookmarkEnd w:id="62"/>
    <w:bookmarkEnd w:id="63"/>
    <w:bookmarkEnd w:id="64"/>
    <w:bookmarkEnd w:id="65"/>
    <w:bookmarkEnd w:id="66"/>
    <w:bookmarkEnd w:id="67"/>
    <w:bookmarkEnd w:id="68"/>
    <w:bookmarkEnd w:id="69"/>
    <w:bookmarkEnd w:id="70"/>
    <w:p>
      <w:pPr>
        <w:spacing w:line="440" w:lineRule="exact"/>
        <w:ind w:firstLine="482" w:firstLineChars="200"/>
        <w:rPr>
          <w:rFonts w:hint="eastAsia" w:ascii="宋体" w:hAnsi="宋体" w:cs="宋体"/>
          <w:b/>
          <w:color w:val="000000" w:themeColor="text1"/>
          <w:kern w:val="0"/>
          <w:sz w:val="24"/>
          <w:szCs w:val="24"/>
          <w:lang w:val="zh-CN"/>
          <w14:textFill>
            <w14:solidFill>
              <w14:schemeClr w14:val="tx1"/>
            </w14:solidFill>
          </w14:textFill>
        </w:rPr>
      </w:pPr>
      <w:bookmarkStart w:id="71" w:name="_Toc94544747"/>
      <w:bookmarkStart w:id="72" w:name="_Toc94544873"/>
      <w:bookmarkStart w:id="73" w:name="_Toc13803484"/>
      <w:bookmarkStart w:id="74" w:name="_Toc12670506"/>
      <w:bookmarkStart w:id="75" w:name="_Toc11554642"/>
      <w:bookmarkStart w:id="76" w:name="_Toc11500283"/>
      <w:bookmarkStart w:id="77" w:name="_Toc11499587"/>
      <w:bookmarkStart w:id="78" w:name="_Toc8895742"/>
      <w:r>
        <w:rPr>
          <w:rFonts w:hint="eastAsia" w:ascii="宋体" w:hAnsi="宋体" w:cs="宋体"/>
          <w:b/>
          <w:color w:val="000000" w:themeColor="text1"/>
          <w:kern w:val="0"/>
          <w:sz w:val="24"/>
          <w:szCs w:val="24"/>
          <w:lang w:val="zh-CN"/>
          <w14:textFill>
            <w14:solidFill>
              <w14:schemeClr w14:val="tx1"/>
            </w14:solidFill>
          </w14:textFill>
        </w:rPr>
        <w:t>一、招标条件</w:t>
      </w:r>
    </w:p>
    <w:p>
      <w:pPr>
        <w:spacing w:line="44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江苏大生集团有限公司信息化建设方案设计服务采购项目，采购人为江苏大生集团有限公司，基于该项目技术方案的不确定性，现对该项目进行竞争性磋商采购。</w:t>
      </w:r>
    </w:p>
    <w:p>
      <w:pPr>
        <w:spacing w:line="440" w:lineRule="exact"/>
        <w:ind w:firstLine="482" w:firstLineChars="200"/>
        <w:rPr>
          <w:rFonts w:hint="eastAsia" w:ascii="宋体" w:hAnsi="宋体" w:cs="宋体"/>
          <w:b/>
          <w:color w:val="000000" w:themeColor="text1"/>
          <w:kern w:val="0"/>
          <w:sz w:val="24"/>
          <w:szCs w:val="24"/>
          <w:lang w:val="zh-CN"/>
          <w14:textFill>
            <w14:solidFill>
              <w14:schemeClr w14:val="tx1"/>
            </w14:solidFill>
          </w14:textFill>
        </w:rPr>
      </w:pPr>
      <w:r>
        <w:rPr>
          <w:rFonts w:hint="eastAsia" w:ascii="宋体" w:hAnsi="宋体" w:cs="宋体"/>
          <w:b/>
          <w:color w:val="000000" w:themeColor="text1"/>
          <w:kern w:val="0"/>
          <w:sz w:val="24"/>
          <w:szCs w:val="24"/>
          <w:lang w:val="zh-CN"/>
          <w14:textFill>
            <w14:solidFill>
              <w14:schemeClr w14:val="tx1"/>
            </w14:solidFill>
          </w14:textFill>
        </w:rPr>
        <w:t>二、项目概况</w:t>
      </w:r>
    </w:p>
    <w:p>
      <w:pPr>
        <w:spacing w:line="440" w:lineRule="exact"/>
        <w:ind w:firstLine="480" w:firstLineChars="20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随着集团的快速发展，对内部精益化、规范化、信息化、数字化、智慧化管理的需求日趋强烈，整合集团IT资源，构建适应和促进集团整体管理、监管的精益信息化管理迫在眉睫。信息化建设方案的主要目的是指导、统筹、规范、引领集团信息化建设，为集团智改数转、高质量发展“数字赋能”，促使大生集团管理架构的优化重组，为集团战略规划的各项发展任务的落实提供支撑与保障。</w:t>
      </w:r>
    </w:p>
    <w:p>
      <w:pPr>
        <w:spacing w:line="440" w:lineRule="exact"/>
        <w:ind w:firstLine="482" w:firstLineChars="200"/>
        <w:rPr>
          <w:rFonts w:hint="eastAsia" w:ascii="宋体" w:hAnsi="宋体" w:cs="宋体"/>
          <w:b/>
          <w:color w:val="000000" w:themeColor="text1"/>
          <w:kern w:val="0"/>
          <w:sz w:val="24"/>
          <w:szCs w:val="24"/>
          <w:lang w:val="zh-CN"/>
          <w14:textFill>
            <w14:solidFill>
              <w14:schemeClr w14:val="tx1"/>
            </w14:solidFill>
          </w14:textFill>
        </w:rPr>
      </w:pPr>
      <w:r>
        <w:rPr>
          <w:rFonts w:hint="eastAsia" w:ascii="宋体" w:hAnsi="宋体" w:cs="宋体"/>
          <w:b/>
          <w:color w:val="000000" w:themeColor="text1"/>
          <w:kern w:val="0"/>
          <w:sz w:val="24"/>
          <w:szCs w:val="24"/>
          <w:lang w:val="zh-CN"/>
          <w14:textFill>
            <w14:solidFill>
              <w14:schemeClr w14:val="tx1"/>
            </w14:solidFill>
          </w14:textFill>
        </w:rPr>
        <w:t>三、招标内容和范围</w:t>
      </w:r>
    </w:p>
    <w:p>
      <w:pPr>
        <w:spacing w:line="44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结合大生集团信息化建设的实际情况对项目进行市场调研形成调研报告、功能需求、技术方案、招标参数、预算造价概算等进行专业设计，并出具《大生集团信息化建设项目设计方案及预算概算书》等。</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四、项目成果及交付期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(一)设计成果的要求，包含但不限于：</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1、设计说明：包括设计构思、方案特点、功能的实现；</w:t>
      </w:r>
    </w:p>
    <w:p>
      <w:pPr>
        <w:spacing w:line="420" w:lineRule="exact"/>
        <w:ind w:firstLine="480" w:firstLineChars="200"/>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thick" w:color="FF0000"/>
        </w:rPr>
        <w:t>本项目招标成交后，成交人须按项目需求，深化设计成果方案，其中须包含项目造价估算表：包括项目建设所选用的软硬件设备设施产品、品牌、规格、型号、技术参数、价格、主要性能及功能说明。</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（二）成果形式</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成果方案及论证材料各</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套，包括成果说明及基础资料汇编。</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成果方案统一装订为A</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格式，数量</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套。</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供论证用演示文件1份（ppt格式，如需要）；</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上述成果的电子文件一套（文字为</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doc</w:t>
      </w:r>
      <w:r>
        <w:rPr>
          <w:rFonts w:hint="eastAsia" w:asciiTheme="minorEastAsia" w:hAnsiTheme="minorEastAsia" w:eastAsiaTheme="minorEastAsia"/>
          <w:sz w:val="24"/>
          <w:szCs w:val="24"/>
          <w:lang w:val="en-US" w:eastAsia="zh-CN"/>
        </w:rPr>
        <w:t>x</w:t>
      </w:r>
      <w:r>
        <w:rPr>
          <w:rFonts w:hint="eastAsia" w:asciiTheme="minorEastAsia" w:hAnsiTheme="minorEastAsia" w:eastAsiaTheme="minorEastAsia"/>
          <w:sz w:val="24"/>
          <w:szCs w:val="24"/>
        </w:rPr>
        <w:t>格式）。</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（三）成果交付期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合同生效后30日内交付设计成果并经论证通过。</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五、其他相关要求</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采购人负责协助供应商搜集基础资料，负责与项目设计相关的协调工作。</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项目建设设计的版权归采购人所有，服务供应商拥有项目建设设计方案的署名权。</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任何单位和个人未经采购人同意都无权以任何形式向社会公开展示本项目建设设计的成果。</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服务供应商提交的项目建设设计成果有下列情形之一的，采购人有权终止合同：</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（1）提交的成果不符合本项目招标文件要求的。</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（2）提交的成果方案内涉及的文字辨认不清，内容不全或行文粗制滥造的。</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（3）未经与采购人协商并同意，逾期上报项目建设设计成果的。</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5.本系统为满足需求，包括但不限于本采购文件所提出的设计要求，作为一个成熟的供应商，应提前考虑因实际差异造成的增补。</w:t>
      </w:r>
    </w:p>
    <w:p>
      <w:pPr>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六、付款方式</w:t>
      </w:r>
    </w:p>
    <w:p>
      <w:pPr>
        <w:spacing w:line="420" w:lineRule="exact"/>
        <w:ind w:firstLine="480" w:firstLineChars="200"/>
        <w:rPr>
          <w:rFonts w:hint="eastAsia" w:asciiTheme="minorEastAsia" w:hAnsiTheme="minorEastAsia" w:eastAsiaTheme="minorEastAsia"/>
          <w:sz w:val="24"/>
          <w:szCs w:val="24"/>
        </w:rPr>
      </w:pPr>
      <w:r>
        <w:rPr>
          <w:rFonts w:asciiTheme="minorEastAsia" w:hAnsiTheme="minorEastAsia" w:eastAsiaTheme="minorEastAsia"/>
          <w:sz w:val="24"/>
          <w:szCs w:val="24"/>
        </w:rPr>
        <w:t>项目完成且验收合格后一个月内支付合同总价的9</w:t>
      </w:r>
      <w:r>
        <w:rPr>
          <w:rFonts w:hint="eastAsia" w:asciiTheme="minorEastAsia" w:hAnsiTheme="minorEastAsia" w:eastAsiaTheme="minorEastAsia"/>
          <w:sz w:val="24"/>
          <w:szCs w:val="24"/>
          <w:lang w:val="en-US" w:eastAsia="zh-CN"/>
        </w:rPr>
        <w:t>5</w:t>
      </w:r>
      <w:r>
        <w:rPr>
          <w:rFonts w:asciiTheme="minorEastAsia" w:hAnsiTheme="minorEastAsia" w:eastAsiaTheme="minorEastAsia"/>
          <w:sz w:val="24"/>
          <w:szCs w:val="24"/>
        </w:rPr>
        <w:t>%</w:t>
      </w:r>
      <w:r>
        <w:rPr>
          <w:rFonts w:hint="eastAsia" w:asciiTheme="minorEastAsia" w:hAnsiTheme="minorEastAsia" w:eastAsiaTheme="minorEastAsia"/>
          <w:sz w:val="24"/>
          <w:szCs w:val="24"/>
        </w:rPr>
        <w:t>，余款待该建设项目完成后一次性付清。</w:t>
      </w:r>
    </w:p>
    <w:p>
      <w:pPr>
        <w:spacing w:line="420" w:lineRule="exact"/>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七、特别提醒</w:t>
      </w:r>
    </w:p>
    <w:p>
      <w:pPr>
        <w:spacing w:line="42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由于项目的特殊性，供应商在编制投标文件之前必须进行现场调研，了解企业当前的信息化应用情况。</w:t>
      </w: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pStyle w:val="2"/>
        <w:ind w:firstLine="480"/>
        <w:rPr>
          <w:rFonts w:hint="eastAsia"/>
        </w:rPr>
      </w:pPr>
    </w:p>
    <w:p>
      <w:pPr>
        <w:spacing w:line="440" w:lineRule="exact"/>
        <w:ind w:firstLine="482" w:firstLineChars="200"/>
        <w:outlineLvl w:val="1"/>
        <w:rPr>
          <w:rFonts w:hint="eastAsia" w:ascii="宋体" w:hAnsi="宋体" w:cs="宋体"/>
          <w:b/>
          <w:bCs/>
          <w:color w:val="000000" w:themeColor="text1"/>
          <w:sz w:val="24"/>
          <w:szCs w:val="24"/>
          <w14:textFill>
            <w14:solidFill>
              <w14:schemeClr w14:val="tx1"/>
            </w14:solidFill>
          </w14:textFill>
        </w:rPr>
      </w:pPr>
    </w:p>
    <w:p>
      <w:pPr>
        <w:spacing w:line="360" w:lineRule="auto"/>
        <w:ind w:firstLine="707" w:firstLineChars="200"/>
        <w:jc w:val="center"/>
        <w:rPr>
          <w:rFonts w:ascii="宋体"/>
          <w:color w:val="000000" w:themeColor="text1"/>
          <w:kern w:val="0"/>
          <w:sz w:val="32"/>
          <w:szCs w:val="32"/>
          <w14:textFill>
            <w14:solidFill>
              <w14:schemeClr w14:val="tx1"/>
            </w14:solidFill>
          </w14:textFill>
        </w:rPr>
      </w:pPr>
      <w:r>
        <w:rPr>
          <w:rFonts w:hint="eastAsia" w:ascii="宋体" w:hAnsi="宋体" w:cs="宋体"/>
          <w:b/>
          <w:bCs/>
          <w:color w:val="000000" w:themeColor="text1"/>
          <w:w w:val="80"/>
          <w:sz w:val="44"/>
          <w:szCs w:val="44"/>
          <w14:textFill>
            <w14:solidFill>
              <w14:schemeClr w14:val="tx1"/>
            </w14:solidFill>
          </w14:textFill>
        </w:rPr>
        <w:t>第四章</w:t>
      </w:r>
      <w:bookmarkStart w:id="79" w:name="_Toc43217893"/>
      <w:bookmarkStart w:id="80" w:name="_Toc37322565"/>
      <w:bookmarkStart w:id="81" w:name="_Toc85627670"/>
      <w:bookmarkStart w:id="82" w:name="_Toc182848996"/>
      <w:bookmarkStart w:id="83" w:name="_Toc38121794"/>
      <w:r>
        <w:rPr>
          <w:rFonts w:hint="eastAsia" w:ascii="宋体" w:hAnsi="宋体" w:cs="宋体"/>
          <w:b/>
          <w:bCs/>
          <w:color w:val="000000" w:themeColor="text1"/>
          <w:w w:val="80"/>
          <w:sz w:val="44"/>
          <w:szCs w:val="44"/>
          <w14:textFill>
            <w14:solidFill>
              <w14:schemeClr w14:val="tx1"/>
            </w14:solidFill>
          </w14:textFill>
        </w:rPr>
        <w:t xml:space="preserve">  评审方法和程序</w:t>
      </w:r>
    </w:p>
    <w:bookmarkEnd w:id="79"/>
    <w:bookmarkEnd w:id="80"/>
    <w:bookmarkEnd w:id="81"/>
    <w:bookmarkEnd w:id="82"/>
    <w:bookmarkEnd w:id="83"/>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bookmarkStart w:id="84" w:name="_Toc363573857"/>
      <w:bookmarkEnd w:id="84"/>
      <w:r>
        <w:rPr>
          <w:rFonts w:hint="eastAsia" w:ascii="宋体" w:hAnsi="宋体" w:cs="宋体"/>
          <w:b/>
          <w:bCs/>
          <w:color w:val="000000" w:themeColor="text1"/>
          <w:sz w:val="24"/>
          <w:szCs w:val="24"/>
          <w14:textFill>
            <w14:solidFill>
              <w14:schemeClr w14:val="tx1"/>
            </w14:solidFill>
          </w14:textFill>
        </w:rPr>
        <w:t>一、代理机构组织磋商</w:t>
      </w:r>
    </w:p>
    <w:p>
      <w:pPr>
        <w:snapToGrid w:val="0"/>
        <w:spacing w:line="460" w:lineRule="exact"/>
        <w:ind w:firstLine="480"/>
        <w:rPr>
          <w:rFonts w:ascii="宋体"/>
          <w:b/>
          <w:bCs/>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、本次竞争性磋商依据相关法规成立竞争性磋商小组。竞争性磋商小组由采购人代表和评审专家共计3人及以上单数组成，其中评审专家人数不得少于竞争性磋商小组成员总数的2/3。</w:t>
      </w:r>
      <w:r>
        <w:rPr>
          <w:b/>
          <w:bCs/>
          <w:color w:val="000000" w:themeColor="text1"/>
          <w:sz w:val="24"/>
          <w:szCs w:val="24"/>
          <w14:textFill>
            <w14:solidFill>
              <w14:schemeClr w14:val="tx1"/>
            </w14:solidFill>
          </w14:textFill>
        </w:rPr>
        <w:t>本项目竞争性磋商小组由采购单位代表和评审专家共3人组成，其中评审专家2人，采购人代表1人。</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、磋商小组的职责：</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）磋商小组成员应当按照客观、公正、审慎的原则，根据磋商文件规定的评审程序、评审方法和评审标准进行独立评审。</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）磋商小组成员应当遵守评审工作纪律，不得泄露评审情况和评审中获悉的商业秘密，对个人的评审意见承担法律责任。</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）磋商小组成员在评审过程中发现供应商有行贿、提供虚假材料或者串通等违法行为的，应当及时向有关部门报告。</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）磋商小组成员在评审过程中受到非法干涉的，应当及时向财政、监察等部门举报。</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）答复供应商提出的质疑及财政部门的投诉处理和监督检查工作。</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、评审有关记录由磋商小组成员签名，存档备查。</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、供应商的法定代表人或被授权人须持身份证准时参加磋商开标会。</w:t>
      </w:r>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二、磋商的原则及方法</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、磋商小组依据《中华人民共和国政府采购法》、《政府采购竞争性磋商采购方式管理暂行办法》以及有关采购的相关法规，遵循“公开、公平、公正、择优、信用”的原则进行磋商评审。</w:t>
      </w:r>
    </w:p>
    <w:p>
      <w:pPr>
        <w:snapToGrid w:val="0"/>
        <w:spacing w:line="480" w:lineRule="exact"/>
        <w:ind w:firstLine="484" w:firstLineChars="202"/>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pPr>
        <w:snapToGrid w:val="0"/>
        <w:spacing w:line="480" w:lineRule="exact"/>
        <w:ind w:firstLine="484" w:firstLineChars="202"/>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、磋商小组根据磋商文件规定的程序、评定成交的标准等事项与实质性响应磋商文件要求的供应商进行磋商。未实质性响应磋商文件要求的响应文件按无效处理，磋商小组应当告知提交响应文件的供应商。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、磋商小组所有成员可以集中与单一供应商分别进行磋商，并给予所有参加磋商的供应商平等的磋商机会。</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、在磋商过程中，磋商小组可以根据磋商文件和磋商情况实质性变动采购需求中的技术、服务要求以及合同草案条款，但不得变动磋商文件中的其他内容。实质性变动的内容，须经采购单位代表确认。</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、对磋商文件作出的实质性变动是磋商文件的有效组成部分，磋商小组应当及时以书面形式同时通知所有参加磋商的供应商。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、经磋商确定最终采购需求和提交最后报价的供应商：磋商文件能够详细列明采购标的的技术、服务要求的，磋商结束后，磋商小组应当要求所有实质性响应的供应商在规定时间内提交最后报价。</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、除非在磋商中磋商小组对采购单位需求内容作了调整增加，或对采购内容作了实质性变更，否则</w:t>
      </w:r>
      <w:r>
        <w:rPr>
          <w:rFonts w:hint="eastAsia" w:ascii="宋体" w:hAnsi="宋体" w:cs="宋体"/>
          <w:bCs/>
          <w:color w:val="000000" w:themeColor="text1"/>
          <w:sz w:val="24"/>
          <w:szCs w:val="24"/>
          <w14:textFill>
            <w14:solidFill>
              <w14:schemeClr w14:val="tx1"/>
            </w14:solidFill>
          </w14:textFill>
        </w:rPr>
        <w:t>采购单位不接受供应商高于自己前一轮的磋商报价</w:t>
      </w:r>
      <w:r>
        <w:rPr>
          <w:rFonts w:hint="eastAsia" w:ascii="宋体" w:hAnsi="宋体" w:cs="宋体"/>
          <w:color w:val="000000" w:themeColor="text1"/>
          <w:sz w:val="24"/>
          <w:szCs w:val="24"/>
          <w14:textFill>
            <w14:solidFill>
              <w14:schemeClr w14:val="tx1"/>
            </w14:solidFill>
          </w14:textFill>
        </w:rPr>
        <w:t>。</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ascii="宋体" w:cs="宋体"/>
          <w:color w:val="000000" w:themeColor="text1"/>
          <w:sz w:val="24"/>
          <w:szCs w:val="24"/>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、对于在磋商顺利开始后至最终报价前，根据磋商情况退出磋商的供应商，须以书面形式说明退出磋商的原因，经磋商小组同意可以退出磋商。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、在磋商中，磋商的任何一方不得透露与磋商有关的其他响应磋商的供应商的技术资料、价格及其他信息。</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、凡两家或以上公司同一法定代表人或其中一家公司为另一家公司单一最大股东的，不能同时参与同一采购项目相同标段的磋商采购活动，一经发现，将视同串标处理。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13</w:t>
      </w:r>
      <w:r>
        <w:rPr>
          <w:rFonts w:hint="eastAsia" w:ascii="宋体" w:hAnsi="宋体" w:cs="宋体"/>
          <w:color w:val="000000" w:themeColor="text1"/>
          <w:sz w:val="24"/>
          <w:szCs w:val="24"/>
          <w14:textFill>
            <w14:solidFill>
              <w14:schemeClr w14:val="tx1"/>
            </w14:solidFill>
          </w14:textFill>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作无效报价，按无效响应处理。</w:t>
      </w:r>
    </w:p>
    <w:p>
      <w:pPr>
        <w:snapToGrid w:val="0"/>
        <w:spacing w:line="48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三、评审步骤</w:t>
      </w:r>
    </w:p>
    <w:p>
      <w:pPr>
        <w:snapToGrid w:val="0"/>
        <w:spacing w:line="480" w:lineRule="exact"/>
        <w:ind w:firstLine="482" w:firstLineChars="200"/>
        <w:rPr>
          <w:rFonts w:ascii="宋体"/>
          <w:b/>
          <w:bCs/>
          <w:color w:val="000000" w:themeColor="text1"/>
          <w:sz w:val="24"/>
          <w:szCs w:val="24"/>
          <w:lang w:val="zh-CN"/>
          <w14:textFill>
            <w14:solidFill>
              <w14:schemeClr w14:val="tx1"/>
            </w14:solidFill>
          </w14:textFill>
        </w:rPr>
      </w:pPr>
      <w:r>
        <w:rPr>
          <w:rFonts w:ascii="宋体" w:hAnsi="宋体" w:cs="宋体"/>
          <w:b/>
          <w:bCs/>
          <w:color w:val="000000" w:themeColor="text1"/>
          <w:sz w:val="24"/>
          <w:szCs w:val="24"/>
          <w:lang w:val="zh-CN"/>
          <w14:textFill>
            <w14:solidFill>
              <w14:schemeClr w14:val="tx1"/>
            </w14:solidFill>
          </w14:textFill>
        </w:rPr>
        <w:t>1</w:t>
      </w:r>
      <w:r>
        <w:rPr>
          <w:rFonts w:hint="eastAsia" w:ascii="宋体" w:hAnsi="宋体" w:cs="宋体"/>
          <w:b/>
          <w:bCs/>
          <w:color w:val="000000" w:themeColor="text1"/>
          <w:sz w:val="24"/>
          <w:szCs w:val="24"/>
          <w:lang w:val="zh-CN"/>
          <w14:textFill>
            <w14:solidFill>
              <w14:schemeClr w14:val="tx1"/>
            </w14:solidFill>
          </w14:textFill>
        </w:rPr>
        <w:t>、评审步骤规定：</w:t>
      </w:r>
    </w:p>
    <w:p>
      <w:pPr>
        <w:snapToGrid w:val="0"/>
        <w:spacing w:line="480" w:lineRule="exact"/>
        <w:ind w:firstLine="482" w:firstLineChars="200"/>
        <w:rPr>
          <w:rFonts w:ascii="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本次资格审查采用资格后审，各供应商资格审查通过后方能进入技术标的开标。先开技术标，技术标打分结束后再开商务标。</w:t>
      </w:r>
    </w:p>
    <w:p>
      <w:pPr>
        <w:snapToGrid w:val="0"/>
        <w:spacing w:line="480" w:lineRule="exact"/>
        <w:ind w:firstLine="480" w:firstLineChars="200"/>
        <w:rPr>
          <w:rFonts w:ascii="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第一阶段：</w:t>
      </w:r>
      <w:r>
        <w:rPr>
          <w:rFonts w:hint="eastAsia" w:ascii="宋体" w:hAnsi="宋体" w:cs="宋体"/>
          <w:color w:val="000000" w:themeColor="text1"/>
          <w:sz w:val="24"/>
          <w:szCs w:val="24"/>
          <w14:textFill>
            <w14:solidFill>
              <w14:schemeClr w14:val="tx1"/>
            </w14:solidFill>
          </w14:textFill>
        </w:rPr>
        <w:t>磋商小组</w:t>
      </w:r>
      <w:r>
        <w:rPr>
          <w:rFonts w:hint="eastAsia" w:ascii="宋体" w:hAnsi="宋体" w:cs="宋体"/>
          <w:color w:val="000000" w:themeColor="text1"/>
          <w:sz w:val="24"/>
          <w:szCs w:val="24"/>
          <w:lang w:val="zh-CN"/>
          <w14:textFill>
            <w14:solidFill>
              <w14:schemeClr w14:val="tx1"/>
            </w14:solidFill>
          </w14:textFill>
        </w:rPr>
        <w:t>对每个供应商的资格进行审查。</w:t>
      </w:r>
    </w:p>
    <w:p>
      <w:pPr>
        <w:snapToGrid w:val="0"/>
        <w:spacing w:line="480" w:lineRule="exact"/>
        <w:ind w:firstLine="480" w:firstLineChars="200"/>
        <w:rPr>
          <w:rFonts w:ascii="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第二阶段：</w:t>
      </w:r>
      <w:r>
        <w:rPr>
          <w:rFonts w:hint="eastAsia" w:ascii="宋体" w:hAnsi="宋体" w:cs="宋体"/>
          <w:color w:val="000000" w:themeColor="text1"/>
          <w:sz w:val="24"/>
          <w:szCs w:val="24"/>
          <w14:textFill>
            <w14:solidFill>
              <w14:schemeClr w14:val="tx1"/>
            </w14:solidFill>
          </w14:textFill>
        </w:rPr>
        <w:t>磋商小组</w:t>
      </w:r>
      <w:r>
        <w:rPr>
          <w:rFonts w:hint="eastAsia" w:ascii="宋体" w:hAnsi="宋体" w:cs="宋体"/>
          <w:color w:val="000000" w:themeColor="text1"/>
          <w:sz w:val="24"/>
          <w:szCs w:val="24"/>
          <w:lang w:val="zh-CN"/>
          <w14:textFill>
            <w14:solidFill>
              <w14:schemeClr w14:val="tx1"/>
            </w14:solidFill>
          </w14:textFill>
        </w:rPr>
        <w:t>对每个符合资格要求的供应商的技术标进行</w:t>
      </w:r>
      <w:r>
        <w:rPr>
          <w:rFonts w:hint="eastAsia" w:ascii="宋体" w:hAnsi="宋体" w:cs="宋体"/>
          <w:color w:val="000000" w:themeColor="text1"/>
          <w:sz w:val="24"/>
          <w:szCs w:val="24"/>
          <w14:textFill>
            <w14:solidFill>
              <w14:schemeClr w14:val="tx1"/>
            </w14:solidFill>
          </w14:textFill>
        </w:rPr>
        <w:t>评审</w:t>
      </w:r>
      <w:r>
        <w:rPr>
          <w:rFonts w:hint="eastAsia" w:ascii="宋体" w:hAnsi="宋体" w:cs="宋体"/>
          <w:color w:val="000000" w:themeColor="text1"/>
          <w:sz w:val="24"/>
          <w:szCs w:val="24"/>
          <w:lang w:val="zh-CN"/>
          <w14:textFill>
            <w14:solidFill>
              <w14:schemeClr w14:val="tx1"/>
            </w14:solidFill>
          </w14:textFill>
        </w:rPr>
        <w:t>。主要审查技术标提交的内容是否齐全，技术方案及项目实施是否完全满足采购文件的要求。</w:t>
      </w:r>
      <w:r>
        <w:rPr>
          <w:rFonts w:hint="eastAsia" w:ascii="宋体" w:hAnsi="宋体" w:cs="宋体"/>
          <w:color w:val="000000" w:themeColor="text1"/>
          <w:sz w:val="24"/>
          <w:szCs w:val="24"/>
          <w14:textFill>
            <w14:solidFill>
              <w14:schemeClr w14:val="tx1"/>
            </w14:solidFill>
          </w14:textFill>
        </w:rPr>
        <w:t>磋商小组严格按照磋商文件的要求、条件、评分标准，对供应商所提供货物或服务的先进性、可靠性、售后服务承诺、质量保证承诺等实质性响应内容进行比较。</w:t>
      </w:r>
    </w:p>
    <w:p>
      <w:pPr>
        <w:snapToGrid w:val="0"/>
        <w:spacing w:line="480" w:lineRule="exact"/>
        <w:ind w:firstLine="480" w:firstLineChars="200"/>
        <w:rPr>
          <w:rFonts w:ascii="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第三阶段：以供应商价格标文件内的</w:t>
      </w:r>
      <w:r>
        <w:rPr>
          <w:rFonts w:hint="eastAsia" w:ascii="宋体" w:hAnsi="宋体" w:cs="宋体"/>
          <w:color w:val="000000" w:themeColor="text1"/>
          <w:sz w:val="24"/>
          <w:szCs w:val="24"/>
          <w14:textFill>
            <w14:solidFill>
              <w14:schemeClr w14:val="tx1"/>
            </w14:solidFill>
          </w14:textFill>
        </w:rPr>
        <w:t>竞争性磋商</w:t>
      </w:r>
      <w:r>
        <w:rPr>
          <w:rFonts w:hint="eastAsia" w:ascii="宋体" w:hAnsi="宋体" w:cs="宋体"/>
          <w:color w:val="000000" w:themeColor="text1"/>
          <w:sz w:val="24"/>
          <w:szCs w:val="24"/>
          <w:lang w:val="zh-CN"/>
          <w14:textFill>
            <w14:solidFill>
              <w14:schemeClr w14:val="tx1"/>
            </w14:solidFill>
          </w14:textFill>
        </w:rPr>
        <w:t>报价（即首次报价）为基础，</w:t>
      </w:r>
      <w:r>
        <w:rPr>
          <w:rFonts w:hint="eastAsia" w:ascii="宋体" w:hAnsi="宋体" w:cs="宋体"/>
          <w:color w:val="000000" w:themeColor="text1"/>
          <w:sz w:val="24"/>
          <w:szCs w:val="24"/>
          <w14:textFill>
            <w14:solidFill>
              <w14:schemeClr w14:val="tx1"/>
            </w14:solidFill>
          </w14:textFill>
        </w:rPr>
        <w:t>磋商小组与</w:t>
      </w:r>
      <w:r>
        <w:rPr>
          <w:rFonts w:hint="eastAsia" w:ascii="宋体" w:hAnsi="宋体" w:cs="宋体"/>
          <w:color w:val="000000" w:themeColor="text1"/>
          <w:sz w:val="24"/>
          <w:szCs w:val="24"/>
          <w:lang w:val="zh-CN"/>
          <w14:textFill>
            <w14:solidFill>
              <w14:schemeClr w14:val="tx1"/>
            </w14:solidFill>
          </w14:textFill>
        </w:rPr>
        <w:t>供应商可以分别进行</w:t>
      </w:r>
      <w:r>
        <w:rPr>
          <w:rFonts w:hint="eastAsia" w:ascii="宋体" w:hAnsi="宋体" w:cs="宋体"/>
          <w:color w:val="000000" w:themeColor="text1"/>
          <w:sz w:val="24"/>
          <w:szCs w:val="24"/>
          <w14:textFill>
            <w14:solidFill>
              <w14:schemeClr w14:val="tx1"/>
            </w14:solidFill>
          </w14:textFill>
        </w:rPr>
        <w:t>磋商</w:t>
      </w:r>
      <w:r>
        <w:rPr>
          <w:rFonts w:hint="eastAsia" w:ascii="宋体" w:hAnsi="宋体" w:cs="宋体"/>
          <w:color w:val="000000" w:themeColor="text1"/>
          <w:sz w:val="24"/>
          <w:szCs w:val="24"/>
          <w:lang w:val="zh-CN"/>
          <w14:textFill>
            <w14:solidFill>
              <w14:schemeClr w14:val="tx1"/>
            </w14:solidFill>
          </w14:textFill>
        </w:rPr>
        <w:t>：内容主要是对</w:t>
      </w:r>
      <w:r>
        <w:rPr>
          <w:rFonts w:hint="eastAsia" w:ascii="宋体" w:hAnsi="宋体" w:cs="宋体"/>
          <w:color w:val="000000" w:themeColor="text1"/>
          <w:sz w:val="24"/>
          <w:szCs w:val="24"/>
          <w14:textFill>
            <w14:solidFill>
              <w14:schemeClr w14:val="tx1"/>
            </w14:solidFill>
          </w14:textFill>
        </w:rPr>
        <w:t>竞争性磋商</w:t>
      </w:r>
      <w:r>
        <w:rPr>
          <w:rFonts w:hint="eastAsia" w:ascii="宋体" w:hAnsi="宋体" w:cs="宋体"/>
          <w:color w:val="000000" w:themeColor="text1"/>
          <w:sz w:val="24"/>
          <w:szCs w:val="24"/>
          <w:lang w:val="zh-CN"/>
          <w14:textFill>
            <w14:solidFill>
              <w14:schemeClr w14:val="tx1"/>
            </w14:solidFill>
          </w14:textFill>
        </w:rPr>
        <w:t>响应文件中的项目方案的澄清、修正、补充、确认以及价格调整等。如</w:t>
      </w:r>
      <w:r>
        <w:rPr>
          <w:rFonts w:hint="eastAsia" w:ascii="宋体" w:hAnsi="宋体" w:cs="宋体"/>
          <w:color w:val="000000" w:themeColor="text1"/>
          <w:sz w:val="24"/>
          <w:szCs w:val="24"/>
          <w14:textFill>
            <w14:solidFill>
              <w14:schemeClr w14:val="tx1"/>
            </w14:solidFill>
          </w14:textFill>
        </w:rPr>
        <w:t>磋商</w:t>
      </w:r>
      <w:r>
        <w:rPr>
          <w:rFonts w:hint="eastAsia" w:ascii="宋体" w:hAnsi="宋体" w:cs="宋体"/>
          <w:color w:val="000000" w:themeColor="text1"/>
          <w:sz w:val="24"/>
          <w:szCs w:val="24"/>
          <w:lang w:val="zh-CN"/>
          <w14:textFill>
            <w14:solidFill>
              <w14:schemeClr w14:val="tx1"/>
            </w14:solidFill>
          </w14:textFill>
        </w:rPr>
        <w:t>内容导致</w:t>
      </w:r>
      <w:r>
        <w:rPr>
          <w:rFonts w:hint="eastAsia" w:ascii="宋体" w:hAnsi="宋体" w:cs="宋体"/>
          <w:color w:val="000000" w:themeColor="text1"/>
          <w:sz w:val="24"/>
          <w:szCs w:val="24"/>
          <w14:textFill>
            <w14:solidFill>
              <w14:schemeClr w14:val="tx1"/>
            </w14:solidFill>
          </w14:textFill>
        </w:rPr>
        <w:t>竞争性磋商</w:t>
      </w:r>
      <w:r>
        <w:rPr>
          <w:rFonts w:hint="eastAsia" w:ascii="宋体" w:hAnsi="宋体" w:cs="宋体"/>
          <w:color w:val="000000" w:themeColor="text1"/>
          <w:sz w:val="24"/>
          <w:szCs w:val="24"/>
          <w:lang w:val="zh-CN"/>
          <w14:textFill>
            <w14:solidFill>
              <w14:schemeClr w14:val="tx1"/>
            </w14:solidFill>
          </w14:textFill>
        </w:rPr>
        <w:t>文件有实质性变动的，</w:t>
      </w:r>
      <w:r>
        <w:rPr>
          <w:rFonts w:hint="eastAsia" w:ascii="宋体" w:hAnsi="宋体" w:cs="宋体"/>
          <w:color w:val="000000" w:themeColor="text1"/>
          <w:sz w:val="24"/>
          <w:szCs w:val="24"/>
          <w14:textFill>
            <w14:solidFill>
              <w14:schemeClr w14:val="tx1"/>
            </w14:solidFill>
          </w14:textFill>
        </w:rPr>
        <w:t>磋商小组</w:t>
      </w:r>
      <w:r>
        <w:rPr>
          <w:rFonts w:hint="eastAsia" w:ascii="宋体" w:hAnsi="宋体" w:cs="宋体"/>
          <w:color w:val="000000" w:themeColor="text1"/>
          <w:sz w:val="24"/>
          <w:szCs w:val="24"/>
          <w:lang w:val="zh-CN"/>
          <w14:textFill>
            <w14:solidFill>
              <w14:schemeClr w14:val="tx1"/>
            </w14:solidFill>
          </w14:textFill>
        </w:rPr>
        <w:t>应当以书面形式通知所有供应商。</w:t>
      </w:r>
    </w:p>
    <w:p>
      <w:pPr>
        <w:snapToGrid w:val="0"/>
        <w:spacing w:line="480" w:lineRule="exact"/>
        <w:ind w:firstLine="480" w:firstLineChars="200"/>
        <w:rPr>
          <w:rFonts w:ascii="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第四阶段：</w:t>
      </w:r>
      <w:r>
        <w:rPr>
          <w:rFonts w:hint="eastAsia" w:ascii="宋体" w:hAnsi="宋体" w:cs="宋体"/>
          <w:color w:val="000000" w:themeColor="text1"/>
          <w:sz w:val="24"/>
          <w:szCs w:val="24"/>
          <w14:textFill>
            <w14:solidFill>
              <w14:schemeClr w14:val="tx1"/>
            </w14:solidFill>
          </w14:textFill>
        </w:rPr>
        <w:t>磋商</w:t>
      </w:r>
      <w:r>
        <w:rPr>
          <w:rFonts w:hint="eastAsia" w:ascii="宋体" w:hAnsi="宋体" w:cs="宋体"/>
          <w:color w:val="000000" w:themeColor="text1"/>
          <w:sz w:val="24"/>
          <w:szCs w:val="24"/>
          <w:lang w:val="zh-CN"/>
          <w14:textFill>
            <w14:solidFill>
              <w14:schemeClr w14:val="tx1"/>
            </w14:solidFill>
          </w14:textFill>
        </w:rPr>
        <w:t>明确各供应商符合并满足磋商文件要求，并能完全响应</w:t>
      </w:r>
      <w:r>
        <w:rPr>
          <w:rFonts w:hint="eastAsia" w:ascii="宋体" w:hAnsi="宋体" w:cs="宋体"/>
          <w:color w:val="000000" w:themeColor="text1"/>
          <w:sz w:val="24"/>
          <w:szCs w:val="24"/>
          <w14:textFill>
            <w14:solidFill>
              <w14:schemeClr w14:val="tx1"/>
            </w14:solidFill>
          </w14:textFill>
        </w:rPr>
        <w:t>磋商</w:t>
      </w:r>
      <w:r>
        <w:rPr>
          <w:rFonts w:hint="eastAsia" w:ascii="宋体" w:hAnsi="宋体" w:cs="宋体"/>
          <w:color w:val="000000" w:themeColor="text1"/>
          <w:sz w:val="24"/>
          <w:szCs w:val="24"/>
          <w:lang w:val="zh-CN"/>
          <w14:textFill>
            <w14:solidFill>
              <w14:schemeClr w14:val="tx1"/>
            </w14:solidFill>
          </w14:textFill>
        </w:rPr>
        <w:t>内容后，要求其现场集体给出最终报价，同时最终报价中可包括但不限于如最终澄清方案、有关优惠承诺等。</w:t>
      </w:r>
    </w:p>
    <w:p>
      <w:pPr>
        <w:snapToGrid w:val="0"/>
        <w:spacing w:line="480" w:lineRule="exact"/>
        <w:ind w:firstLine="480" w:firstLineChars="200"/>
        <w:rPr>
          <w:rFonts w:ascii="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第五阶段：</w:t>
      </w:r>
      <w:r>
        <w:rPr>
          <w:rFonts w:hint="eastAsia" w:ascii="宋体" w:hAnsi="宋体" w:cs="宋体"/>
          <w:color w:val="000000" w:themeColor="text1"/>
          <w:sz w:val="24"/>
          <w:szCs w:val="24"/>
          <w14:textFill>
            <w14:solidFill>
              <w14:schemeClr w14:val="tx1"/>
            </w14:solidFill>
          </w14:textFill>
        </w:rPr>
        <w:t>磋商小组</w:t>
      </w:r>
      <w:r>
        <w:rPr>
          <w:rFonts w:hint="eastAsia" w:ascii="宋体" w:hAnsi="宋体" w:cs="宋体"/>
          <w:color w:val="000000" w:themeColor="text1"/>
          <w:sz w:val="24"/>
          <w:szCs w:val="24"/>
          <w:lang w:val="zh-CN"/>
          <w14:textFill>
            <w14:solidFill>
              <w14:schemeClr w14:val="tx1"/>
            </w14:solidFill>
          </w14:textFill>
        </w:rPr>
        <w:t>对供应商的最终报价进行评议和比较，在实质性响应</w:t>
      </w:r>
      <w:r>
        <w:rPr>
          <w:rFonts w:hint="eastAsia" w:ascii="宋体" w:hAnsi="宋体" w:cs="宋体"/>
          <w:color w:val="000000" w:themeColor="text1"/>
          <w:sz w:val="24"/>
          <w:szCs w:val="24"/>
          <w14:textFill>
            <w14:solidFill>
              <w14:schemeClr w14:val="tx1"/>
            </w14:solidFill>
          </w14:textFill>
        </w:rPr>
        <w:t>竞争性磋商</w:t>
      </w:r>
      <w:r>
        <w:rPr>
          <w:rFonts w:hint="eastAsia" w:ascii="宋体" w:hAnsi="宋体" w:cs="宋体"/>
          <w:color w:val="000000" w:themeColor="text1"/>
          <w:sz w:val="24"/>
          <w:szCs w:val="24"/>
          <w:lang w:val="zh-CN"/>
          <w14:textFill>
            <w14:solidFill>
              <w14:schemeClr w14:val="tx1"/>
            </w14:solidFill>
          </w14:textFill>
        </w:rPr>
        <w:t>文件，技术标和价格标部分都能满足</w:t>
      </w:r>
      <w:r>
        <w:rPr>
          <w:rFonts w:hint="eastAsia" w:ascii="宋体" w:hAnsi="宋体" w:cs="宋体"/>
          <w:color w:val="000000" w:themeColor="text1"/>
          <w:sz w:val="24"/>
          <w:szCs w:val="24"/>
          <w14:textFill>
            <w14:solidFill>
              <w14:schemeClr w14:val="tx1"/>
            </w14:solidFill>
          </w14:textFill>
        </w:rPr>
        <w:t>竞争性磋商</w:t>
      </w:r>
      <w:r>
        <w:rPr>
          <w:rFonts w:hint="eastAsia" w:ascii="宋体" w:hAnsi="宋体" w:cs="宋体"/>
          <w:color w:val="000000" w:themeColor="text1"/>
          <w:sz w:val="24"/>
          <w:szCs w:val="24"/>
          <w:lang w:val="zh-CN"/>
          <w14:textFill>
            <w14:solidFill>
              <w14:schemeClr w14:val="tx1"/>
            </w14:solidFill>
          </w14:textFill>
        </w:rPr>
        <w:t>文件的前提下，</w:t>
      </w:r>
      <w:r>
        <w:rPr>
          <w:rFonts w:hint="eastAsia" w:ascii="宋体" w:hAnsi="宋体" w:cs="宋体"/>
          <w:color w:val="000000" w:themeColor="text1"/>
          <w:sz w:val="24"/>
          <w:szCs w:val="24"/>
          <w14:textFill>
            <w14:solidFill>
              <w14:schemeClr w14:val="tx1"/>
            </w14:solidFill>
          </w14:textFill>
        </w:rPr>
        <w:t>磋商小组</w:t>
      </w:r>
      <w:r>
        <w:rPr>
          <w:rFonts w:hint="eastAsia" w:ascii="宋体" w:hAnsi="宋体" w:cs="宋体"/>
          <w:color w:val="000000" w:themeColor="text1"/>
          <w:sz w:val="24"/>
          <w:szCs w:val="24"/>
          <w:lang w:val="zh-CN"/>
          <w14:textFill>
            <w14:solidFill>
              <w14:schemeClr w14:val="tx1"/>
            </w14:solidFill>
          </w14:textFill>
        </w:rPr>
        <w:t>将校核后的各供应商的报价从低到高排序（</w:t>
      </w:r>
      <w:r>
        <w:rPr>
          <w:rFonts w:hint="eastAsia" w:ascii="宋体" w:hAnsi="宋体" w:cs="宋体"/>
          <w:color w:val="000000" w:themeColor="text1"/>
          <w:sz w:val="24"/>
          <w:szCs w:val="24"/>
          <w14:textFill>
            <w14:solidFill>
              <w14:schemeClr w14:val="tx1"/>
            </w14:solidFill>
          </w14:textFill>
        </w:rPr>
        <w:t>明显低于成本的，且供应商不能合理说明或者不能提供相关证明材料的报价除外）</w:t>
      </w:r>
      <w:r>
        <w:rPr>
          <w:rFonts w:hint="eastAsia" w:ascii="宋体" w:hAnsi="宋体" w:cs="宋体"/>
          <w:color w:val="000000" w:themeColor="text1"/>
          <w:sz w:val="24"/>
          <w:szCs w:val="24"/>
          <w:lang w:val="zh-CN"/>
          <w14:textFill>
            <w14:solidFill>
              <w14:schemeClr w14:val="tx1"/>
            </w14:solidFill>
          </w14:textFill>
        </w:rPr>
        <w:t>。</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2</w:t>
      </w:r>
      <w:r>
        <w:rPr>
          <w:rFonts w:hint="eastAsia" w:ascii="宋体" w:hAnsi="宋体" w:cs="宋体"/>
          <w:color w:val="000000" w:themeColor="text1"/>
          <w:sz w:val="24"/>
          <w:szCs w:val="24"/>
          <w:lang w:val="zh-CN"/>
          <w14:textFill>
            <w14:solidFill>
              <w14:schemeClr w14:val="tx1"/>
            </w14:solidFill>
          </w14:textFill>
        </w:rPr>
        <w:t>、在</w:t>
      </w:r>
      <w:r>
        <w:rPr>
          <w:rFonts w:hint="eastAsia" w:ascii="宋体" w:hAnsi="宋体" w:cs="宋体"/>
          <w:color w:val="000000" w:themeColor="text1"/>
          <w:sz w:val="24"/>
          <w:szCs w:val="24"/>
          <w14:textFill>
            <w14:solidFill>
              <w14:schemeClr w14:val="tx1"/>
            </w14:solidFill>
          </w14:textFill>
        </w:rPr>
        <w:t>磋商</w:t>
      </w:r>
      <w:r>
        <w:rPr>
          <w:rFonts w:hint="eastAsia" w:ascii="宋体" w:hAnsi="宋体" w:cs="宋体"/>
          <w:color w:val="000000" w:themeColor="text1"/>
          <w:sz w:val="24"/>
          <w:szCs w:val="24"/>
          <w:lang w:val="zh-CN"/>
          <w14:textFill>
            <w14:solidFill>
              <w14:schemeClr w14:val="tx1"/>
            </w14:solidFill>
          </w14:textFill>
        </w:rPr>
        <w:t>过程中，供应商提交的澄清文件和最终报价文件，由供应商法定代表人或被授权人签字盖章后生效，供应商受其约束。</w:t>
      </w:r>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四、磋商评定结果的方法</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u w:val="single"/>
          <w14:textFill>
            <w14:solidFill>
              <w14:schemeClr w14:val="tx1"/>
            </w14:solidFill>
          </w14:textFill>
        </w:rPr>
        <w:t>经磋商确定最终采购需求和提交最后报价的供应商后，</w:t>
      </w:r>
      <w:r>
        <w:rPr>
          <w:rFonts w:hint="eastAsia" w:ascii="宋体" w:hAnsi="宋体" w:cs="宋体"/>
          <w:color w:val="000000" w:themeColor="text1"/>
          <w:sz w:val="24"/>
          <w:szCs w:val="24"/>
          <w14:textFill>
            <w14:solidFill>
              <w14:schemeClr w14:val="tx1"/>
            </w14:solidFill>
          </w14:textFill>
        </w:rPr>
        <w:t>由磋商小组采用综合评分法</w:t>
      </w:r>
      <w:r>
        <w:rPr>
          <w:rFonts w:hint="eastAsia" w:ascii="宋体" w:hAnsi="宋体" w:cs="宋体"/>
          <w:b/>
          <w:bCs/>
          <w:color w:val="000000" w:themeColor="text1"/>
          <w:sz w:val="24"/>
          <w:szCs w:val="24"/>
          <w:u w:val="single"/>
          <w14:textFill>
            <w14:solidFill>
              <w14:schemeClr w14:val="tx1"/>
            </w14:solidFill>
          </w14:textFill>
        </w:rPr>
        <w:t>对提交最后报价的供应商的响应文件和最后报价</w:t>
      </w:r>
      <w:r>
        <w:rPr>
          <w:rFonts w:hint="eastAsia" w:ascii="宋体" w:hAnsi="宋体" w:cs="宋体"/>
          <w:color w:val="000000" w:themeColor="text1"/>
          <w:sz w:val="24"/>
          <w:szCs w:val="24"/>
          <w14:textFill>
            <w14:solidFill>
              <w14:schemeClr w14:val="tx1"/>
            </w14:solidFill>
          </w14:textFill>
        </w:rPr>
        <w:t>进行综合评分。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、评估时，磋商小组各成员应当独立对每个有效响应的文件进行评价、打分，然后汇总每个供应商每项评分因素的得分（计算结果均四舍五入保留两位小数）。</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、本次项目磋商的技术</w:t>
      </w:r>
      <w:r>
        <w:rPr>
          <w:rFonts w:hint="eastAsia" w:ascii="宋体" w:hAnsi="宋体" w:cs="宋体"/>
          <w:color w:val="000000" w:themeColor="text1"/>
          <w:kern w:val="0"/>
          <w:sz w:val="24"/>
          <w:szCs w:val="24"/>
          <w14:textFill>
            <w14:solidFill>
              <w14:schemeClr w14:val="tx1"/>
            </w14:solidFill>
          </w14:textFill>
        </w:rPr>
        <w:t>响应文件</w:t>
      </w:r>
      <w:r>
        <w:rPr>
          <w:rFonts w:hint="eastAsia" w:ascii="宋体" w:hAnsi="宋体" w:cs="宋体"/>
          <w:color w:val="000000" w:themeColor="text1"/>
          <w:sz w:val="24"/>
          <w:szCs w:val="24"/>
          <w14:textFill>
            <w14:solidFill>
              <w14:schemeClr w14:val="tx1"/>
            </w14:solidFill>
          </w14:textFill>
        </w:rPr>
        <w:t>和商务报价</w:t>
      </w:r>
      <w:r>
        <w:rPr>
          <w:rFonts w:hint="eastAsia" w:ascii="宋体" w:hAnsi="宋体" w:cs="宋体"/>
          <w:color w:val="000000" w:themeColor="text1"/>
          <w:kern w:val="0"/>
          <w:sz w:val="24"/>
          <w:szCs w:val="24"/>
          <w14:textFill>
            <w14:solidFill>
              <w14:schemeClr w14:val="tx1"/>
            </w14:solidFill>
          </w14:textFill>
        </w:rPr>
        <w:t>响应文件</w:t>
      </w:r>
      <w:r>
        <w:rPr>
          <w:rFonts w:hint="eastAsia" w:ascii="宋体" w:hAnsi="宋体" w:cs="宋体"/>
          <w:color w:val="000000" w:themeColor="text1"/>
          <w:sz w:val="24"/>
          <w:szCs w:val="24"/>
          <w14:textFill>
            <w14:solidFill>
              <w14:schemeClr w14:val="tx1"/>
            </w14:solidFill>
          </w14:textFill>
        </w:rPr>
        <w:t>评估总分值为</w:t>
      </w:r>
      <w:r>
        <w:rPr>
          <w:rFonts w:ascii="宋体" w:hAnsi="宋体" w:cs="宋体"/>
          <w:color w:val="000000" w:themeColor="text1"/>
          <w:sz w:val="24"/>
          <w:szCs w:val="24"/>
          <w14:textFill>
            <w14:solidFill>
              <w14:schemeClr w14:val="tx1"/>
            </w14:solidFill>
          </w14:textFill>
        </w:rPr>
        <w:t>100</w:t>
      </w:r>
      <w:r>
        <w:rPr>
          <w:rFonts w:hint="eastAsia" w:ascii="宋体" w:hAnsi="宋体" w:cs="宋体"/>
          <w:color w:val="000000" w:themeColor="text1"/>
          <w:sz w:val="24"/>
          <w:szCs w:val="24"/>
          <w14:textFill>
            <w14:solidFill>
              <w14:schemeClr w14:val="tx1"/>
            </w14:solidFill>
          </w14:textFill>
        </w:rPr>
        <w:t>分。两部分评估因素比重如下：</w:t>
      </w:r>
    </w:p>
    <w:p>
      <w:pPr>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技术响应文件分值占总分值的比重为</w:t>
      </w:r>
      <w:r>
        <w:rPr>
          <w:rFonts w:hint="eastAsia" w:ascii="宋体" w:hAnsi="宋体" w:cs="宋体"/>
          <w:color w:val="000000" w:themeColor="text1"/>
          <w:kern w:val="0"/>
          <w:sz w:val="24"/>
          <w:szCs w:val="24"/>
          <w:u w:val="single"/>
          <w14:textFill>
            <w14:solidFill>
              <w14:schemeClr w14:val="tx1"/>
            </w14:solidFill>
          </w14:textFill>
        </w:rPr>
        <w:t>70</w:t>
      </w:r>
      <w:r>
        <w:rPr>
          <w:rFonts w:ascii="宋体" w:hAnsi="宋体" w:cs="宋体"/>
          <w:color w:val="000000" w:themeColor="text1"/>
          <w:kern w:val="0"/>
          <w:sz w:val="24"/>
          <w:szCs w:val="24"/>
          <w:u w:val="single"/>
          <w14:textFill>
            <w14:solidFill>
              <w14:schemeClr w14:val="tx1"/>
            </w14:solidFill>
          </w14:textFill>
        </w:rPr>
        <w:t>%</w:t>
      </w:r>
      <w:r>
        <w:rPr>
          <w:rFonts w:hint="eastAsia" w:ascii="宋体" w:hAnsi="宋体" w:cs="宋体"/>
          <w:color w:val="000000" w:themeColor="text1"/>
          <w:kern w:val="0"/>
          <w:sz w:val="24"/>
          <w:szCs w:val="24"/>
          <w:u w:val="single"/>
          <w14:textFill>
            <w14:solidFill>
              <w14:schemeClr w14:val="tx1"/>
            </w14:solidFill>
          </w14:textFill>
        </w:rPr>
        <w:t>（权重）</w:t>
      </w:r>
      <w:r>
        <w:rPr>
          <w:rFonts w:hint="eastAsia" w:ascii="宋体" w:hAnsi="宋体" w:cs="宋体"/>
          <w:color w:val="000000" w:themeColor="text1"/>
          <w:kern w:val="0"/>
          <w:sz w:val="24"/>
          <w:szCs w:val="24"/>
          <w14:textFill>
            <w14:solidFill>
              <w14:schemeClr w14:val="tx1"/>
            </w14:solidFill>
          </w14:textFill>
        </w:rPr>
        <w:t>（四舍五入保留两位小数）；</w:t>
      </w:r>
    </w:p>
    <w:p>
      <w:pPr>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商务报价响应文件分值占总分值的比重为</w:t>
      </w:r>
      <w:r>
        <w:rPr>
          <w:rFonts w:hint="eastAsia" w:ascii="宋体" w:hAnsi="宋体" w:cs="宋体"/>
          <w:color w:val="000000" w:themeColor="text1"/>
          <w:kern w:val="0"/>
          <w:sz w:val="24"/>
          <w:szCs w:val="24"/>
          <w:u w:val="single"/>
          <w14:textFill>
            <w14:solidFill>
              <w14:schemeClr w14:val="tx1"/>
            </w14:solidFill>
          </w14:textFill>
        </w:rPr>
        <w:t>30</w:t>
      </w:r>
      <w:r>
        <w:rPr>
          <w:rFonts w:ascii="宋体" w:hAnsi="宋体" w:cs="宋体"/>
          <w:color w:val="000000" w:themeColor="text1"/>
          <w:kern w:val="0"/>
          <w:sz w:val="24"/>
          <w:szCs w:val="24"/>
          <w:u w:val="single"/>
          <w14:textFill>
            <w14:solidFill>
              <w14:schemeClr w14:val="tx1"/>
            </w14:solidFill>
          </w14:textFill>
        </w:rPr>
        <w:t>%</w:t>
      </w:r>
      <w:r>
        <w:rPr>
          <w:rFonts w:hint="eastAsia" w:ascii="宋体" w:hAnsi="宋体" w:cs="宋体"/>
          <w:color w:val="000000" w:themeColor="text1"/>
          <w:kern w:val="0"/>
          <w:sz w:val="24"/>
          <w:szCs w:val="24"/>
          <w:u w:val="single"/>
          <w14:textFill>
            <w14:solidFill>
              <w14:schemeClr w14:val="tx1"/>
            </w14:solidFill>
          </w14:textFill>
        </w:rPr>
        <w:t>（权重）</w:t>
      </w:r>
      <w:r>
        <w:rPr>
          <w:rFonts w:hint="eastAsia" w:ascii="宋体" w:hAnsi="宋体" w:cs="宋体"/>
          <w:color w:val="000000" w:themeColor="text1"/>
          <w:kern w:val="0"/>
          <w:sz w:val="24"/>
          <w:szCs w:val="24"/>
          <w14:textFill>
            <w14:solidFill>
              <w14:schemeClr w14:val="tx1"/>
            </w14:solidFill>
          </w14:textFill>
        </w:rPr>
        <w:t>（四舍五入保留两位小数）。</w:t>
      </w:r>
    </w:p>
    <w:p>
      <w:pPr>
        <w:snapToGrid w:val="0"/>
        <w:spacing w:line="480" w:lineRule="exact"/>
        <w:ind w:firstLine="480" w:firstLineChars="200"/>
        <w:rPr>
          <w:rFonts w:ascii="宋体"/>
          <w:dstrike/>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、技术</w:t>
      </w:r>
      <w:r>
        <w:rPr>
          <w:rFonts w:hint="eastAsia" w:ascii="宋体" w:hAnsi="宋体" w:cs="宋体"/>
          <w:color w:val="000000" w:themeColor="text1"/>
          <w:kern w:val="0"/>
          <w:sz w:val="24"/>
          <w:szCs w:val="24"/>
          <w14:textFill>
            <w14:solidFill>
              <w14:schemeClr w14:val="tx1"/>
            </w14:solidFill>
          </w14:textFill>
        </w:rPr>
        <w:t>响应文件分值为所有评委打分的算术平均值，计算</w:t>
      </w:r>
      <w:r>
        <w:rPr>
          <w:rFonts w:hint="eastAsia" w:ascii="宋体" w:hAnsi="宋体" w:cs="宋体"/>
          <w:color w:val="000000" w:themeColor="text1"/>
          <w:sz w:val="24"/>
          <w:szCs w:val="24"/>
          <w14:textFill>
            <w14:solidFill>
              <w14:schemeClr w14:val="tx1"/>
            </w14:solidFill>
          </w14:textFill>
        </w:rPr>
        <w:t>结果均四舍五入保留两位小数。</w:t>
      </w:r>
    </w:p>
    <w:p>
      <w:pPr>
        <w:snapToGrid w:val="0"/>
        <w:spacing w:line="480" w:lineRule="exact"/>
        <w:ind w:firstLine="480" w:firstLineChars="200"/>
        <w:rPr>
          <w:color w:val="000000" w:themeColor="text1"/>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、商务报价</w:t>
      </w:r>
      <w:r>
        <w:rPr>
          <w:rFonts w:hint="eastAsia" w:ascii="宋体" w:hAnsi="宋体" w:cs="宋体"/>
          <w:color w:val="000000" w:themeColor="text1"/>
          <w:kern w:val="0"/>
          <w:sz w:val="24"/>
          <w:szCs w:val="24"/>
          <w14:textFill>
            <w14:solidFill>
              <w14:schemeClr w14:val="tx1"/>
            </w14:solidFill>
          </w14:textFill>
        </w:rPr>
        <w:t>响应文件</w:t>
      </w:r>
      <w:r>
        <w:rPr>
          <w:rFonts w:hint="eastAsia" w:ascii="宋体" w:hAnsi="宋体" w:cs="宋体"/>
          <w:color w:val="000000" w:themeColor="text1"/>
          <w:sz w:val="24"/>
          <w:szCs w:val="24"/>
          <w14:textFill>
            <w14:solidFill>
              <w14:schemeClr w14:val="tx1"/>
            </w14:solidFill>
          </w14:textFill>
        </w:rPr>
        <w:t>分值统一采用低价优先法计算直接取得，与技术</w:t>
      </w:r>
      <w:r>
        <w:rPr>
          <w:rFonts w:hint="eastAsia" w:ascii="宋体" w:hAnsi="宋体" w:cs="宋体"/>
          <w:color w:val="000000" w:themeColor="text1"/>
          <w:kern w:val="0"/>
          <w:sz w:val="24"/>
          <w:szCs w:val="24"/>
          <w14:textFill>
            <w14:solidFill>
              <w14:schemeClr w14:val="tx1"/>
            </w14:solidFill>
          </w14:textFill>
        </w:rPr>
        <w:t>响应文件</w:t>
      </w:r>
      <w:r>
        <w:rPr>
          <w:rFonts w:hint="eastAsia" w:ascii="宋体" w:hAnsi="宋体" w:cs="宋体"/>
          <w:color w:val="000000" w:themeColor="text1"/>
          <w:sz w:val="24"/>
          <w:szCs w:val="24"/>
          <w14:textFill>
            <w14:solidFill>
              <w14:schemeClr w14:val="tx1"/>
            </w14:solidFill>
          </w14:textFill>
        </w:rPr>
        <w:t>分值相加为供应商的综合得分（四舍五入保留两位小数）。</w:t>
      </w:r>
    </w:p>
    <w:p>
      <w:pPr>
        <w:snapToGrid w:val="0"/>
        <w:spacing w:line="480" w:lineRule="exact"/>
        <w:ind w:firstLine="460" w:firstLineChars="192"/>
        <w:rPr>
          <w:rFonts w:ascii="宋体"/>
          <w:color w:val="000000" w:themeColor="text1"/>
          <w:kern w:val="0"/>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综合得分最高的供应商推荐为项目预成交供应商并出具评审磋商报告。</w:t>
      </w:r>
    </w:p>
    <w:p>
      <w:pPr>
        <w:snapToGrid w:val="0"/>
        <w:spacing w:line="480" w:lineRule="exact"/>
        <w:ind w:firstLine="480" w:firstLineChars="200"/>
        <w:outlineLvl w:val="1"/>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、确定成交候选人的特殊情况处理：</w:t>
      </w:r>
    </w:p>
    <w:p>
      <w:pPr>
        <w:snapToGrid w:val="0"/>
        <w:spacing w:line="480" w:lineRule="exact"/>
        <w:ind w:firstLine="480" w:firstLineChars="200"/>
        <w:outlineLvl w:val="1"/>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）若总分相同，则按最终技术磋商响应评审得分高者优先中标。</w:t>
      </w:r>
    </w:p>
    <w:p>
      <w:pPr>
        <w:snapToGrid w:val="0"/>
        <w:spacing w:line="480" w:lineRule="exact"/>
        <w:ind w:firstLine="480" w:firstLineChars="200"/>
        <w:outlineLvl w:val="1"/>
        <w:rPr>
          <w:rFonts w:ascii="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）若总分且最终报价得分相同，则采取现场抽签的方式确定（由供应商按递交响应文件签到顺序号抽签确定）。</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、磋商评审时，评委对评审的细则若有争议，由磋商小组集体讨论确定，并对未尽情况有最终解释权。</w:t>
      </w:r>
    </w:p>
    <w:p>
      <w:pPr>
        <w:snapToGrid w:val="0"/>
        <w:spacing w:line="480" w:lineRule="exact"/>
        <w:ind w:firstLine="480" w:firstLineChars="200"/>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、对落标的供应商不做落标原因的解释。</w:t>
      </w: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五、综合评分评审标准</w:t>
      </w:r>
    </w:p>
    <w:bookmarkEnd w:id="71"/>
    <w:bookmarkEnd w:id="72"/>
    <w:bookmarkEnd w:id="73"/>
    <w:bookmarkEnd w:id="74"/>
    <w:bookmarkEnd w:id="75"/>
    <w:bookmarkEnd w:id="76"/>
    <w:bookmarkEnd w:id="77"/>
    <w:bookmarkEnd w:id="78"/>
    <w:p>
      <w:pPr>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bookmarkStart w:id="85" w:name="_Toc94585343"/>
      <w:bookmarkStart w:id="86" w:name="_Toc363573858"/>
      <w:r>
        <w:rPr>
          <w:rFonts w:hint="eastAsia" w:ascii="宋体" w:hAnsi="宋体" w:cs="宋体"/>
          <w:b/>
          <w:bCs/>
          <w:color w:val="000000" w:themeColor="text1"/>
          <w:sz w:val="24"/>
          <w:szCs w:val="24"/>
          <w14:textFill>
            <w14:solidFill>
              <w14:schemeClr w14:val="tx1"/>
            </w14:solidFill>
          </w14:textFill>
        </w:rPr>
        <w:t xml:space="preserve">（一）技术标评分（70分） </w:t>
      </w:r>
    </w:p>
    <w:p>
      <w:pPr>
        <w:snapToGrid w:val="0"/>
        <w:spacing w:line="420" w:lineRule="exact"/>
        <w:ind w:firstLine="487" w:firstLineChars="202"/>
        <w:rPr>
          <w:rFonts w:asciiTheme="minorEastAsia" w:hAnsiTheme="minorEastAsia" w:eastAsiaTheme="minorEastAsia"/>
          <w:b/>
          <w:bCs/>
          <w:sz w:val="24"/>
          <w:szCs w:val="24"/>
        </w:rPr>
      </w:pPr>
      <w:r>
        <w:rPr>
          <w:rFonts w:asciiTheme="minorEastAsia" w:hAnsiTheme="minorEastAsia" w:eastAsiaTheme="minorEastAsia"/>
          <w:b/>
          <w:bCs/>
          <w:sz w:val="24"/>
          <w:szCs w:val="24"/>
        </w:rPr>
        <w:t>1.</w:t>
      </w:r>
      <w:r>
        <w:rPr>
          <w:rFonts w:hint="eastAsia" w:asciiTheme="minorEastAsia" w:hAnsiTheme="minorEastAsia" w:eastAsiaTheme="minorEastAsia"/>
          <w:b/>
          <w:bCs/>
          <w:sz w:val="24"/>
          <w:szCs w:val="24"/>
        </w:rPr>
        <w:t>企业实力（31分）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（1）供应商具有工程设计资质证书、质量管理体系认证证书、AAA级信用等级证书，每有一项得1分，该项最高得</w:t>
      </w:r>
      <w:r>
        <w:rPr>
          <w:rFonts w:asciiTheme="minorEastAsia" w:hAnsiTheme="minorEastAsia" w:eastAsiaTheme="minorEastAsia"/>
          <w:sz w:val="24"/>
          <w:szCs w:val="24"/>
        </w:rPr>
        <w:t>3</w:t>
      </w:r>
      <w:r>
        <w:rPr>
          <w:rFonts w:hint="eastAsia" w:asciiTheme="minorEastAsia" w:hAnsiTheme="minorEastAsia" w:eastAsiaTheme="minorEastAsia"/>
          <w:sz w:val="24"/>
          <w:szCs w:val="24"/>
        </w:rPr>
        <w:t>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（2）供应商具有信息安全管理体系认证证书、安全评价类资质证书乙级以上资质的每有一项得2分，该项最高得4分。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）供应商具有软件企业证书、CMMI3软件成熟度认证证书、ITSS信息技术服务运行维护标准三级及以上证书，每有一项得2分，该项最高得6分。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4</w:t>
      </w:r>
      <w:r>
        <w:rPr>
          <w:rFonts w:hint="eastAsia" w:asciiTheme="minorEastAsia" w:hAnsiTheme="minorEastAsia" w:eastAsiaTheme="minorEastAsia"/>
          <w:sz w:val="24"/>
          <w:szCs w:val="24"/>
        </w:rPr>
        <w:t>）自</w:t>
      </w:r>
      <w:bookmarkStart w:id="87" w:name="_Hlk39327026"/>
      <w:r>
        <w:rPr>
          <w:rFonts w:asciiTheme="minorEastAsia" w:hAnsiTheme="minorEastAsia" w:eastAsiaTheme="minorEastAsia"/>
          <w:sz w:val="24"/>
          <w:szCs w:val="24"/>
        </w:rPr>
        <w:t>201</w:t>
      </w:r>
      <w:r>
        <w:rPr>
          <w:rFonts w:hint="eastAsia" w:asciiTheme="minorEastAsia" w:hAnsiTheme="minorEastAsia" w:eastAsiaTheme="minorEastAsia"/>
          <w:sz w:val="24"/>
          <w:szCs w:val="24"/>
        </w:rPr>
        <w:t>9年1月1日以来至今，</w:t>
      </w:r>
      <w:bookmarkEnd w:id="87"/>
      <w:bookmarkStart w:id="88" w:name="_Hlk39327041"/>
      <w:r>
        <w:rPr>
          <w:rFonts w:hint="eastAsia" w:asciiTheme="minorEastAsia" w:hAnsiTheme="minorEastAsia" w:eastAsiaTheme="minorEastAsia"/>
          <w:sz w:val="24"/>
          <w:szCs w:val="24"/>
        </w:rPr>
        <w:t>供应商承接过类似项目的业绩，每有一个得4分，本项最高得16分。（提供合同复印件并加盖供应商公章，时间以合同签订时间为准）</w:t>
      </w:r>
      <w:bookmarkEnd w:id="88"/>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（5）项目设计的实施方案说明内的拟安排人员具有信息系统集成项目经理或者高级项目经理资质证书的，得2分；国家注册安全工程师的得2分，该项最高得4分。</w:t>
      </w:r>
    </w:p>
    <w:p>
      <w:pPr>
        <w:adjustRightInd w:val="0"/>
        <w:snapToGrid w:val="0"/>
        <w:spacing w:line="420" w:lineRule="exact"/>
        <w:ind w:firstLine="482" w:firstLineChars="200"/>
        <w:outlineLvl w:val="4"/>
        <w:rPr>
          <w:rFonts w:asciiTheme="minorEastAsia" w:hAnsiTheme="minorEastAsia" w:eastAsiaTheme="minorEastAsia"/>
          <w:b/>
          <w:bCs/>
          <w:sz w:val="24"/>
          <w:szCs w:val="24"/>
        </w:rPr>
      </w:pPr>
      <w:r>
        <w:rPr>
          <w:rFonts w:asciiTheme="minorEastAsia" w:hAnsiTheme="minorEastAsia" w:eastAsiaTheme="minorEastAsia"/>
          <w:b/>
          <w:bCs/>
          <w:sz w:val="24"/>
          <w:szCs w:val="24"/>
        </w:rPr>
        <w:t>2.</w:t>
      </w:r>
      <w:r>
        <w:rPr>
          <w:rFonts w:hint="eastAsia" w:asciiTheme="minorEastAsia" w:hAnsiTheme="minorEastAsia" w:eastAsiaTheme="minorEastAsia"/>
          <w:b/>
          <w:bCs/>
          <w:sz w:val="24"/>
          <w:szCs w:val="24"/>
        </w:rPr>
        <w:t>技术响应方案（37分）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1）供应商对建设理念和此类信息化建设要求作过充分了解和深入研究，设计参考依据全面规范并与项目主体性质相符，对项目情况、应用环境、体系结构需求、功能需求、性能要求和实施要求等内容提出理解说明，对建设需求的重点、难点有分析并提出解决策略：响应内容完整、说明细致且可行性强的</w:t>
      </w:r>
      <w:bookmarkStart w:id="89" w:name="_Hlk39331673"/>
      <w:r>
        <w:rPr>
          <w:rFonts w:hint="eastAsia" w:asciiTheme="minorEastAsia" w:hAnsiTheme="minorEastAsia" w:eastAsiaTheme="minorEastAsia"/>
          <w:sz w:val="24"/>
          <w:szCs w:val="24"/>
        </w:rPr>
        <w:t>得9分</w:t>
      </w:r>
      <w:bookmarkEnd w:id="89"/>
      <w:r>
        <w:rPr>
          <w:rFonts w:hint="eastAsia" w:asciiTheme="minorEastAsia" w:hAnsiTheme="minorEastAsia" w:eastAsiaTheme="minorEastAsia"/>
          <w:sz w:val="24"/>
          <w:szCs w:val="24"/>
        </w:rPr>
        <w:t>；理解浅显、分析缺位、设计不足、内容疏漏、说明简单、可行性弱的得6分；理解偏差、分析错位、设计违规、内容错误、说明缺失、可行性差的得3分。如供应商提出的响应内容仅是复制、套搬、抄袭采购文件相关内容的，则本项不得分。</w:t>
      </w:r>
    </w:p>
    <w:p>
      <w:pPr>
        <w:snapToGrid w:val="0"/>
        <w:spacing w:line="420" w:lineRule="exact"/>
        <w:ind w:firstLine="484" w:firstLineChars="202"/>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2）供应商的总体设计说明：技术架构及应用架构设计思路清晰、总体架构合理、系统功能齐全、技术路线可行，且对本项目建设以整体规划和顶层设计，并就总体设计的各项指标（包括但不限于：合理性、先进性、成熟性、完整性、操作性以及与项目的符合性）说明：内容完整、说明细致、各项指标优异且可行性强的得12分；内容疏漏、说明简单、各项指标普通、可行性弱的得8分；内容错误、说明缺失、各项指标低劣、可行性差的得4分。如供应商提出的响应内容仅是复制、套搬、抄袭采购文件相关内容的，则本项不得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（3）</w:t>
      </w:r>
      <w:bookmarkStart w:id="90" w:name="_Hlk39266679"/>
      <w:r>
        <w:rPr>
          <w:rFonts w:hint="eastAsia" w:asciiTheme="minorEastAsia" w:hAnsiTheme="minorEastAsia" w:eastAsiaTheme="minorEastAsia"/>
          <w:sz w:val="24"/>
          <w:szCs w:val="24"/>
        </w:rPr>
        <w:t>供应商对本项目项下的全部系统及功能内容提出对应的设计：内容完整、说明细致且可行性强的得9分；内容疏漏、说明简单、可行性弱的得6分；内容错误、说明缺失、可行性差的得3分。如供应商提出的响应内容仅是复制、套搬、抄袭采购文件相关内容的，则本项不得分。</w:t>
      </w:r>
    </w:p>
    <w:bookmarkEnd w:id="90"/>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（4）</w:t>
      </w:r>
      <w:bookmarkStart w:id="91" w:name="_Hlk39329463"/>
      <w:r>
        <w:rPr>
          <w:rFonts w:hint="eastAsia" w:asciiTheme="minorEastAsia" w:hAnsiTheme="minorEastAsia" w:eastAsiaTheme="minorEastAsia"/>
          <w:sz w:val="24"/>
          <w:szCs w:val="24"/>
        </w:rPr>
        <w:t>项目设计的实施方案说明</w:t>
      </w:r>
      <w:bookmarkEnd w:id="91"/>
      <w:r>
        <w:rPr>
          <w:rFonts w:hint="eastAsia" w:asciiTheme="minorEastAsia" w:hAnsiTheme="minorEastAsia" w:eastAsiaTheme="minorEastAsia"/>
          <w:sz w:val="24"/>
          <w:szCs w:val="24"/>
        </w:rPr>
        <w:t>，内容须至少包括：组织结构、人员清单、进度安排、质量控制、技术支持和配套服务措施。供应商提供的上述内容，内容完整、说明细致的，评委在1-5分内评定，该项最高得5分。</w:t>
      </w:r>
    </w:p>
    <w:p>
      <w:pPr>
        <w:snapToGrid w:val="0"/>
        <w:spacing w:line="420" w:lineRule="exact"/>
        <w:ind w:firstLine="484" w:firstLineChars="202"/>
        <w:rPr>
          <w:rFonts w:asciiTheme="minorEastAsia" w:hAnsiTheme="minorEastAsia" w:eastAsiaTheme="minorEastAsia"/>
          <w:sz w:val="24"/>
          <w:szCs w:val="24"/>
        </w:rPr>
      </w:pPr>
      <w:r>
        <w:rPr>
          <w:rFonts w:hint="eastAsia" w:asciiTheme="minorEastAsia" w:hAnsiTheme="minorEastAsia" w:eastAsiaTheme="minorEastAsia"/>
          <w:sz w:val="24"/>
          <w:szCs w:val="24"/>
        </w:rPr>
        <w:t>（5）提供针对本项目详细的服务承诺，包含承诺中标后按项目需求，提供项目建设深化设计成果的，得2分，否则不得分。</w:t>
      </w:r>
    </w:p>
    <w:p>
      <w:pPr>
        <w:snapToGrid w:val="0"/>
        <w:spacing w:line="480" w:lineRule="exact"/>
        <w:contextualSpacing/>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注：1、供应商应按上表要求提供相关证明文件并加盖公章，原件备查。</w:t>
      </w:r>
    </w:p>
    <w:p>
      <w:pPr>
        <w:snapToGrid w:val="0"/>
        <w:spacing w:line="480" w:lineRule="exact"/>
        <w:ind w:firstLine="480" w:firstLineChars="200"/>
        <w:contextualSpacing/>
        <w:outlineLvl w:val="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2、以上打分项设得分上限，评委依据招标文件载明的方法评分，评分四舍五入精确到小数点后两位。供应商应按上表要求提供相关证明文件并加盖公章。</w:t>
      </w:r>
    </w:p>
    <w:p>
      <w:pPr>
        <w:snapToGrid w:val="0"/>
        <w:spacing w:line="480" w:lineRule="exact"/>
        <w:ind w:firstLine="480" w:firstLineChars="200"/>
        <w:contextualSpacing/>
        <w:outlineLvl w:val="1"/>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、提供以上评标标准每项内容在投标文件中响应部分的页码。</w:t>
      </w:r>
    </w:p>
    <w:p>
      <w:pPr>
        <w:snapToGrid w:val="0"/>
        <w:spacing w:line="48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（二）商务报价响应评分：（30分）</w:t>
      </w:r>
    </w:p>
    <w:p>
      <w:pPr>
        <w:snapToGrid w:val="0"/>
        <w:spacing w:line="480" w:lineRule="exact"/>
        <w:ind w:firstLine="57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b/>
          <w:color w:val="000000" w:themeColor="text1"/>
          <w:sz w:val="24"/>
          <w:szCs w:val="24"/>
          <w14:textFill>
            <w14:solidFill>
              <w14:schemeClr w14:val="tx1"/>
            </w14:solidFill>
          </w14:textFill>
        </w:rPr>
        <w:t>本次项目最高限价为</w:t>
      </w:r>
      <w:r>
        <w:rPr>
          <w:rFonts w:hint="eastAsia" w:ascii="宋体" w:hAnsi="宋体" w:cs="宋体"/>
          <w:b/>
          <w:color w:val="000000" w:themeColor="text1"/>
          <w:sz w:val="24"/>
          <w:szCs w:val="24"/>
          <w:lang w:val="en-US" w:eastAsia="zh-CN"/>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.5万元。超过限价作无效投标处理。</w:t>
      </w:r>
    </w:p>
    <w:p>
      <w:pPr>
        <w:snapToGrid w:val="0"/>
        <w:spacing w:line="48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2、满足招标文件要求且投标报价最低的报价为评标基准价，其商务标得分为满分。</w:t>
      </w:r>
    </w:p>
    <w:p>
      <w:pPr>
        <w:snapToGrid w:val="0"/>
        <w:spacing w:line="48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3、其他投标供应商的商务标得分分别</w:t>
      </w:r>
      <w:bookmarkStart w:id="98" w:name="_GoBack"/>
      <w:r>
        <w:rPr>
          <w:rFonts w:hint="eastAsia" w:ascii="宋体" w:hAnsi="宋体" w:cs="宋体"/>
          <w:color w:val="000000" w:themeColor="text1"/>
          <w:sz w:val="24"/>
          <w:szCs w:val="24"/>
          <w14:textFill>
            <w14:solidFill>
              <w14:schemeClr w14:val="tx1"/>
            </w14:solidFill>
          </w14:textFill>
        </w:rPr>
        <w:t>按</w:t>
      </w:r>
      <w:bookmarkEnd w:id="98"/>
      <w:r>
        <w:rPr>
          <w:rFonts w:hint="eastAsia" w:ascii="宋体" w:hAnsi="宋体" w:cs="宋体"/>
          <w:color w:val="000000" w:themeColor="text1"/>
          <w:sz w:val="24"/>
          <w:szCs w:val="24"/>
          <w14:textFill>
            <w14:solidFill>
              <w14:schemeClr w14:val="tx1"/>
            </w14:solidFill>
          </w14:textFill>
        </w:rPr>
        <w:t>照下列公式计算：</w:t>
      </w:r>
    </w:p>
    <w:p>
      <w:pPr>
        <w:snapToGrid w:val="0"/>
        <w:spacing w:line="48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商务标得分 =（评标基准价/投标报价）×30%×100</w:t>
      </w:r>
    </w:p>
    <w:p>
      <w:pPr>
        <w:snapToGrid w:val="0"/>
        <w:spacing w:line="480" w:lineRule="exact"/>
        <w:ind w:firstLine="890" w:firstLineChars="37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（得分保留2位小数）</w:t>
      </w:r>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六、出现下列情形之一的，作无效响应处理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、响应文件未按磋商文件要求装订、密封、签署、盖章及主要资料不齐全的；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、响应文件的资料有虚报或者谎报的；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、响应文件中资格审查文件及技术响应文件出现磋商报价的内容；</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、不具备磋商文件规定的资格要求的；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、响应文件有重大漏项或重大不合理的；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、项目技术、方案不满足项目需求中的要求，有重大偏离或保留的；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、磋商响应报价超出项目预算的；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、被认定为低于成本报价磋商竞标的；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、供应商的磋商报价高于自己前一轮的；</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、不符合法律、法规和磋商文件中规定的其他实质性响应要求的；</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1、磋商小组依据法律法规可以认定为无效投标的其他情况。</w:t>
      </w:r>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七、出现下列情形之一的，作废标处理</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、供应商的报价均超出了采购预算，采购单位不能支付的；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、因情况变化，不再符合规定的竞争性磋商采购方式所适用情形的；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、出现影响采购公正的违法、违规行为的；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、因重大变故，采购任务取消的；</w:t>
      </w:r>
      <w:r>
        <w:rPr>
          <w:rFonts w:ascii="宋体"/>
          <w:color w:val="000000" w:themeColor="text1"/>
          <w:sz w:val="24"/>
          <w:szCs w:val="24"/>
          <w14:textFill>
            <w14:solidFill>
              <w14:schemeClr w14:val="tx1"/>
            </w14:solidFill>
          </w14:textFill>
        </w:rPr>
        <w:tab/>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、符合资格条件或者对招标文件作实质响应的投标供应商不足</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家的；</w:t>
      </w:r>
    </w:p>
    <w:p>
      <w:pPr>
        <w:snapToGrid w:val="0"/>
        <w:spacing w:line="48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、磋商小组依据法律法规可以认定为废标的其他情况。</w:t>
      </w:r>
    </w:p>
    <w:p>
      <w:pPr>
        <w:snapToGrid w:val="0"/>
        <w:spacing w:line="480" w:lineRule="exact"/>
        <w:ind w:firstLine="482" w:firstLineChars="200"/>
        <w:outlineLvl w:val="1"/>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八、成交通知</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1、开标结束后，采购人自成交人确定之日起2个工作日公告成交结果。</w:t>
      </w:r>
    </w:p>
    <w:p>
      <w:pPr>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2、成交公告期限为1个工作日，期限结束后向成交人发出《成交通知书》。</w:t>
      </w:r>
    </w:p>
    <w:p>
      <w:pPr>
        <w:snapToGrid w:val="0"/>
        <w:spacing w:line="48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3、《成交通知书》一经发出，即具有法律效力。采购人、中标人依法承担法律责任。</w:t>
      </w:r>
    </w:p>
    <w:p>
      <w:pPr>
        <w:snapToGrid w:val="0"/>
        <w:spacing w:line="48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九、其他</w:t>
      </w:r>
    </w:p>
    <w:p>
      <w:pPr>
        <w:snapToGrid w:val="0"/>
        <w:spacing w:line="480" w:lineRule="exact"/>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一成交候选人原则上为成交人，成交价为其成交报价。当排名第一的成交候选人放弃成交、因不可抗力不能履行合同、不按照采购文件要求提交履约保证金，或者被查实存在影响成交结果的违法行为等情形，不符合成交条件的，招标人可以按照评标委员会提出的成交候选人名单排序依次确定其他成交候选人为成交人，也可以重新招标。</w:t>
      </w:r>
    </w:p>
    <w:bookmarkEnd w:id="85"/>
    <w:bookmarkEnd w:id="86"/>
    <w:p>
      <w:pPr>
        <w:snapToGrid w:val="0"/>
        <w:spacing w:line="480" w:lineRule="exact"/>
        <w:jc w:val="center"/>
        <w:rPr>
          <w:rFonts w:ascii="宋体" w:hAnsi="宋体" w:cs="宋体"/>
          <w:b/>
          <w:bCs/>
          <w:color w:val="000000" w:themeColor="text1"/>
          <w:w w:val="80"/>
          <w:sz w:val="44"/>
          <w:szCs w:val="44"/>
          <w14:textFill>
            <w14:solidFill>
              <w14:schemeClr w14:val="tx1"/>
            </w14:solidFill>
          </w14:textFill>
        </w:rPr>
      </w:pPr>
    </w:p>
    <w:p>
      <w:pPr>
        <w:snapToGrid w:val="0"/>
        <w:spacing w:line="480" w:lineRule="exact"/>
        <w:jc w:val="center"/>
        <w:rPr>
          <w:rFonts w:ascii="宋体" w:hAnsi="宋体" w:cs="宋体"/>
          <w:b/>
          <w:bCs/>
          <w:color w:val="000000" w:themeColor="text1"/>
          <w:w w:val="80"/>
          <w:sz w:val="44"/>
          <w:szCs w:val="44"/>
          <w14:textFill>
            <w14:solidFill>
              <w14:schemeClr w14:val="tx1"/>
            </w14:solidFill>
          </w14:textFill>
        </w:rPr>
      </w:pPr>
    </w:p>
    <w:p>
      <w:pPr>
        <w:pStyle w:val="2"/>
        <w:ind w:firstLine="480"/>
      </w:pPr>
    </w:p>
    <w:p>
      <w:pPr>
        <w:pStyle w:val="2"/>
        <w:ind w:firstLine="480"/>
      </w:pPr>
    </w:p>
    <w:p>
      <w:pPr>
        <w:pStyle w:val="2"/>
        <w:ind w:firstLine="480"/>
      </w:pPr>
    </w:p>
    <w:p>
      <w:pPr>
        <w:pStyle w:val="2"/>
        <w:ind w:firstLine="480"/>
      </w:pPr>
    </w:p>
    <w:p>
      <w:pPr>
        <w:snapToGrid w:val="0"/>
        <w:spacing w:line="48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w w:val="80"/>
          <w:sz w:val="44"/>
          <w:szCs w:val="44"/>
          <w14:textFill>
            <w14:solidFill>
              <w14:schemeClr w14:val="tx1"/>
            </w14:solidFill>
          </w14:textFill>
        </w:rPr>
        <w:t>第五章  合同主要条款</w:t>
      </w:r>
    </w:p>
    <w:p>
      <w:pPr>
        <w:spacing w:after="60" w:line="360" w:lineRule="auto"/>
        <w:rPr>
          <w:rFonts w:ascii="宋体" w:hAnsi="宋体" w:cs="宋体"/>
          <w:color w:val="000000"/>
          <w:sz w:val="24"/>
          <w:szCs w:val="24"/>
        </w:rPr>
      </w:pPr>
      <w:r>
        <w:rPr>
          <w:rFonts w:hint="eastAsia" w:ascii="宋体" w:hAnsi="宋体" w:cs="宋体"/>
          <w:color w:val="000000"/>
          <w:spacing w:val="46"/>
          <w:kern w:val="0"/>
          <w:sz w:val="24"/>
          <w:szCs w:val="24"/>
        </w:rPr>
        <w:t>采购单</w:t>
      </w:r>
      <w:r>
        <w:rPr>
          <w:rFonts w:hint="eastAsia" w:ascii="宋体" w:hAnsi="宋体" w:cs="宋体"/>
          <w:color w:val="000000"/>
          <w:spacing w:val="2"/>
          <w:kern w:val="0"/>
          <w:sz w:val="24"/>
          <w:szCs w:val="24"/>
        </w:rPr>
        <w:t>位</w:t>
      </w:r>
      <w:r>
        <w:rPr>
          <w:rFonts w:hint="eastAsia" w:ascii="宋体" w:hAnsi="宋体" w:cs="宋体"/>
          <w:color w:val="000000"/>
          <w:sz w:val="24"/>
          <w:szCs w:val="24"/>
        </w:rPr>
        <w:t>（或称甲方）：</w:t>
      </w:r>
    </w:p>
    <w:p>
      <w:pPr>
        <w:spacing w:after="60" w:line="360" w:lineRule="auto"/>
        <w:rPr>
          <w:rFonts w:ascii="宋体" w:hAnsi="宋体" w:cs="宋体"/>
          <w:color w:val="000000"/>
          <w:sz w:val="24"/>
          <w:szCs w:val="24"/>
        </w:rPr>
      </w:pPr>
      <w:r>
        <w:rPr>
          <w:rFonts w:hint="eastAsia" w:ascii="宋体" w:hAnsi="宋体" w:cs="宋体"/>
          <w:color w:val="000000"/>
          <w:sz w:val="24"/>
          <w:szCs w:val="24"/>
        </w:rPr>
        <w:t>成交供应商（或称乙方）：</w:t>
      </w:r>
    </w:p>
    <w:p>
      <w:pPr>
        <w:spacing w:after="60" w:line="360" w:lineRule="auto"/>
        <w:rPr>
          <w:rFonts w:ascii="宋体" w:hAnsi="宋体" w:cs="宋体"/>
          <w:color w:val="000000"/>
          <w:sz w:val="24"/>
          <w:szCs w:val="24"/>
        </w:rPr>
      </w:pPr>
      <w:r>
        <w:rPr>
          <w:rFonts w:hint="eastAsia" w:ascii="宋体" w:hAnsi="宋体" w:cs="宋体"/>
          <w:color w:val="000000"/>
          <w:sz w:val="24"/>
          <w:szCs w:val="24"/>
        </w:rPr>
        <w:t>签订时间：</w:t>
      </w:r>
      <w:r>
        <w:rPr>
          <w:rFonts w:ascii="宋体" w:hAnsi="宋体" w:cs="宋体"/>
          <w:color w:val="000000"/>
          <w:sz w:val="24"/>
          <w:szCs w:val="24"/>
          <w:u w:val="single"/>
        </w:rPr>
        <w:t xml:space="preserve">     年   月   日</w:t>
      </w:r>
    </w:p>
    <w:p>
      <w:pPr>
        <w:spacing w:after="60" w:line="360" w:lineRule="auto"/>
        <w:rPr>
          <w:rFonts w:ascii="宋体" w:hAnsi="宋体" w:cs="宋体"/>
          <w:color w:val="000000"/>
          <w:sz w:val="24"/>
          <w:szCs w:val="24"/>
        </w:rPr>
      </w:pPr>
      <w:r>
        <w:rPr>
          <w:rFonts w:hint="eastAsia" w:ascii="宋体" w:hAnsi="宋体" w:cs="宋体"/>
          <w:color w:val="000000"/>
          <w:sz w:val="24"/>
          <w:szCs w:val="24"/>
        </w:rPr>
        <w:t>签订地点：</w:t>
      </w:r>
    </w:p>
    <w:p>
      <w:pPr>
        <w:snapToGrid w:val="0"/>
        <w:spacing w:line="500" w:lineRule="exact"/>
        <w:ind w:firstLine="480" w:firstLineChars="200"/>
        <w:rPr>
          <w:rFonts w:ascii="宋体" w:hAnsi="宋体" w:cs="宋体"/>
          <w:color w:val="000000"/>
          <w:sz w:val="24"/>
          <w:szCs w:val="24"/>
        </w:rPr>
      </w:pPr>
      <w:r>
        <w:rPr>
          <w:rFonts w:hint="eastAsia" w:ascii="宋体" w:hAnsi="宋体" w:cs="宋体"/>
          <w:color w:val="000000"/>
          <w:sz w:val="24"/>
          <w:szCs w:val="24"/>
        </w:rPr>
        <w:t>根据《政府采购法》、《民法典》及采购项目的采购结果、采购文件、成交通知书及成交供应商的响应文件，经甲乙双方协商一致，签订本合同书。</w:t>
      </w:r>
    </w:p>
    <w:p>
      <w:pPr>
        <w:snapToGrid w:val="0"/>
        <w:spacing w:line="500" w:lineRule="exact"/>
        <w:ind w:firstLine="482" w:firstLineChars="200"/>
        <w:rPr>
          <w:rFonts w:ascii="宋体" w:hAnsi="宋体" w:cs="宋体"/>
          <w:b/>
          <w:color w:val="000000"/>
          <w:sz w:val="24"/>
          <w:szCs w:val="24"/>
        </w:rPr>
      </w:pPr>
      <w:r>
        <w:rPr>
          <w:rFonts w:hint="eastAsia" w:ascii="宋体" w:hAnsi="宋体" w:cs="宋体"/>
          <w:b/>
          <w:color w:val="000000"/>
          <w:sz w:val="24"/>
          <w:szCs w:val="24"/>
        </w:rPr>
        <w:t>一、合同的标的物</w:t>
      </w:r>
    </w:p>
    <w:p>
      <w:pPr>
        <w:snapToGrid w:val="0"/>
        <w:spacing w:line="500" w:lineRule="exact"/>
        <w:ind w:firstLine="573"/>
        <w:rPr>
          <w:rFonts w:ascii="宋体" w:hAnsi="宋体" w:cs="宋体"/>
          <w:color w:val="000000"/>
          <w:sz w:val="24"/>
          <w:szCs w:val="24"/>
        </w:rPr>
      </w:pPr>
      <w:r>
        <w:rPr>
          <w:rFonts w:ascii="宋体" w:hAnsi="宋体" w:cs="宋体"/>
          <w:color w:val="000000"/>
          <w:sz w:val="24"/>
          <w:szCs w:val="24"/>
        </w:rPr>
        <w:t>1.1甲方向乙方采购标的物，具体的要求详见项目需求。</w:t>
      </w:r>
    </w:p>
    <w:p>
      <w:pPr>
        <w:snapToGrid w:val="0"/>
        <w:spacing w:line="500" w:lineRule="exact"/>
        <w:ind w:firstLine="573"/>
        <w:rPr>
          <w:rFonts w:ascii="宋体" w:hAnsi="宋体" w:cs="宋体"/>
          <w:color w:val="000000"/>
          <w:sz w:val="24"/>
          <w:szCs w:val="24"/>
        </w:rPr>
      </w:pPr>
      <w:r>
        <w:rPr>
          <w:rFonts w:ascii="宋体" w:hAnsi="宋体" w:cs="宋体"/>
          <w:color w:val="000000"/>
          <w:sz w:val="24"/>
          <w:szCs w:val="24"/>
        </w:rPr>
        <w:t xml:space="preserve">1.2 </w:t>
      </w:r>
      <w:r>
        <w:rPr>
          <w:rFonts w:hint="eastAsia" w:ascii="宋体" w:hAnsi="宋体" w:cs="宋体"/>
          <w:color w:val="000000"/>
          <w:sz w:val="24"/>
          <w:szCs w:val="24"/>
        </w:rPr>
        <w:t>乙方对提供的标的物应当拥有完整的物权，并且负有保证第三人不得向甲方主张任何权利（包括知识产权）的义务。</w:t>
      </w:r>
    </w:p>
    <w:p>
      <w:pPr>
        <w:snapToGrid w:val="0"/>
        <w:spacing w:line="500" w:lineRule="exact"/>
        <w:ind w:firstLine="573"/>
        <w:rPr>
          <w:rFonts w:ascii="宋体" w:hAnsi="宋体" w:cs="宋体"/>
          <w:b/>
          <w:color w:val="000000"/>
          <w:sz w:val="24"/>
          <w:szCs w:val="24"/>
        </w:rPr>
      </w:pPr>
      <w:r>
        <w:rPr>
          <w:rFonts w:hint="eastAsia" w:ascii="宋体" w:hAnsi="宋体" w:cs="宋体"/>
          <w:b/>
          <w:color w:val="000000"/>
          <w:sz w:val="24"/>
          <w:szCs w:val="24"/>
        </w:rPr>
        <w:t>二、合同价格与支付</w:t>
      </w:r>
    </w:p>
    <w:p>
      <w:pPr>
        <w:snapToGrid w:val="0"/>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 xml:space="preserve"> </w:t>
      </w:r>
      <w:r>
        <w:rPr>
          <w:rFonts w:ascii="宋体" w:hAnsi="宋体" w:cs="宋体"/>
          <w:color w:val="000000"/>
          <w:sz w:val="24"/>
          <w:szCs w:val="24"/>
        </w:rPr>
        <w:t xml:space="preserve">2.1 </w:t>
      </w:r>
      <w:r>
        <w:rPr>
          <w:rFonts w:hint="eastAsia" w:ascii="宋体" w:hAnsi="宋体" w:cs="宋体"/>
          <w:color w:val="000000"/>
          <w:sz w:val="24"/>
          <w:szCs w:val="24"/>
        </w:rPr>
        <w:t>合同价格按此次成交价格执行，合同金额为人民币</w:t>
      </w:r>
      <w:r>
        <w:rPr>
          <w:rFonts w:hint="eastAsia" w:ascii="宋体" w:hAnsi="宋体" w:cs="宋体"/>
          <w:color w:val="000000"/>
          <w:sz w:val="24"/>
          <w:szCs w:val="24"/>
          <w:u w:val="single"/>
        </w:rPr>
        <w:t xml:space="preserve">        元</w:t>
      </w:r>
      <w:r>
        <w:rPr>
          <w:rFonts w:ascii="宋体" w:hAnsi="宋体" w:cs="宋体"/>
          <w:color w:val="000000"/>
          <w:sz w:val="24"/>
          <w:szCs w:val="24"/>
        </w:rPr>
        <w:t>，</w:t>
      </w:r>
      <w:r>
        <w:rPr>
          <w:rFonts w:hint="eastAsia" w:ascii="宋体" w:hAnsi="宋体" w:cs="宋体"/>
          <w:sz w:val="24"/>
          <w:szCs w:val="24"/>
        </w:rPr>
        <w:t>磋商响应报价是设计及其方案论证通过所包含的全部费用，是包括采购的所有服务以及项目所产生的成果或是采购人在项目过程中需要服务供应商所提交的资料（包括书面及电子）、保险、利润、税金、培训、政策性文件规定及合同包含的所有风险、责任等各项应有费用。</w:t>
      </w:r>
    </w:p>
    <w:p>
      <w:pPr>
        <w:snapToGrid w:val="0"/>
        <w:spacing w:line="500" w:lineRule="exact"/>
        <w:ind w:firstLine="480" w:firstLineChars="200"/>
        <w:rPr>
          <w:rFonts w:ascii="宋体" w:hAnsi="宋体"/>
          <w:color w:val="000000"/>
          <w:sz w:val="24"/>
          <w:szCs w:val="24"/>
        </w:rPr>
      </w:pPr>
      <w:r>
        <w:rPr>
          <w:rFonts w:hint="eastAsia" w:ascii="宋体" w:hAnsi="宋体" w:cs="宋体"/>
          <w:color w:val="000000"/>
          <w:sz w:val="24"/>
          <w:szCs w:val="24"/>
        </w:rPr>
        <w:t xml:space="preserve"> </w:t>
      </w:r>
      <w:r>
        <w:rPr>
          <w:rFonts w:ascii="宋体" w:hAnsi="宋体" w:cs="宋体"/>
          <w:color w:val="000000"/>
          <w:sz w:val="24"/>
          <w:szCs w:val="24"/>
        </w:rPr>
        <w:t>2.2付款方</w:t>
      </w:r>
      <w:r>
        <w:rPr>
          <w:rFonts w:hint="eastAsia"/>
          <w:sz w:val="24"/>
          <w:szCs w:val="24"/>
        </w:rPr>
        <w:t>式：</w:t>
      </w:r>
      <w:r>
        <w:rPr>
          <w:rFonts w:hint="eastAsia" w:ascii="宋体" w:hAnsi="宋体"/>
          <w:color w:val="000000"/>
          <w:sz w:val="24"/>
          <w:szCs w:val="24"/>
        </w:rPr>
        <w:t>项目完成且验收合格后一个月内支付合同总价的9</w:t>
      </w:r>
      <w:r>
        <w:rPr>
          <w:rFonts w:hint="eastAsia" w:ascii="宋体" w:hAnsi="宋体"/>
          <w:color w:val="000000"/>
          <w:sz w:val="24"/>
          <w:szCs w:val="24"/>
          <w:lang w:val="en-US" w:eastAsia="zh-CN"/>
        </w:rPr>
        <w:t>5</w:t>
      </w:r>
      <w:r>
        <w:rPr>
          <w:rFonts w:hint="eastAsia" w:ascii="宋体" w:hAnsi="宋体"/>
          <w:color w:val="000000"/>
          <w:sz w:val="24"/>
          <w:szCs w:val="24"/>
        </w:rPr>
        <w:t>%，余款待该建设项目完成后一次性付清。</w:t>
      </w:r>
    </w:p>
    <w:p>
      <w:pPr>
        <w:snapToGrid w:val="0"/>
        <w:spacing w:line="500" w:lineRule="exact"/>
        <w:ind w:firstLine="480" w:firstLineChars="200"/>
        <w:rPr>
          <w:rFonts w:ascii="宋体" w:hAnsi="宋体" w:cs="宋体"/>
          <w:color w:val="000000"/>
          <w:sz w:val="24"/>
          <w:szCs w:val="24"/>
        </w:rPr>
      </w:pPr>
      <w:r>
        <w:rPr>
          <w:rFonts w:hint="eastAsia" w:ascii="宋体" w:hAnsi="宋体"/>
          <w:color w:val="000000"/>
          <w:sz w:val="24"/>
          <w:szCs w:val="24"/>
        </w:rPr>
        <w:t xml:space="preserve"> </w:t>
      </w:r>
      <w:r>
        <w:rPr>
          <w:rFonts w:ascii="宋体" w:hAnsi="宋体" w:cs="宋体"/>
          <w:color w:val="000000"/>
          <w:sz w:val="24"/>
          <w:szCs w:val="24"/>
        </w:rPr>
        <w:t>2.3根据现行税法对甲方征收的与本合同有关的一切税费均由甲方承担；根据现行税法对乙方征收的与本合同有关的一切税费均由乙方承担。</w:t>
      </w:r>
    </w:p>
    <w:p>
      <w:pPr>
        <w:snapToGrid w:val="0"/>
        <w:spacing w:line="500" w:lineRule="exact"/>
        <w:ind w:firstLine="573"/>
        <w:rPr>
          <w:rFonts w:ascii="宋体" w:hAnsi="宋体" w:cs="宋体"/>
          <w:color w:val="000000"/>
          <w:sz w:val="24"/>
          <w:szCs w:val="24"/>
        </w:rPr>
      </w:pPr>
      <w:r>
        <w:rPr>
          <w:rFonts w:ascii="宋体" w:hAnsi="宋体" w:cs="宋体"/>
          <w:color w:val="000000"/>
          <w:sz w:val="24"/>
          <w:szCs w:val="24"/>
        </w:rPr>
        <w:t>2.4支付（结算）方式：由甲方通知乙方提交相关发票办理支付手续，支付（结算）中心在各项手续、票据齐全的情况下完成对外支付。</w:t>
      </w:r>
    </w:p>
    <w:p>
      <w:pPr>
        <w:snapToGrid w:val="0"/>
        <w:spacing w:line="500" w:lineRule="exact"/>
        <w:ind w:firstLine="573"/>
        <w:rPr>
          <w:rFonts w:ascii="宋体" w:hAnsi="宋体" w:cs="宋体"/>
          <w:color w:val="000000"/>
          <w:sz w:val="24"/>
          <w:szCs w:val="24"/>
        </w:rPr>
      </w:pPr>
      <w:r>
        <w:rPr>
          <w:rFonts w:ascii="宋体" w:hAnsi="宋体" w:cs="宋体"/>
          <w:color w:val="000000"/>
          <w:sz w:val="24"/>
          <w:szCs w:val="24"/>
        </w:rPr>
        <w:t>2.5乙方按采购文件规定缴纳了</w:t>
      </w:r>
      <w:r>
        <w:rPr>
          <w:rFonts w:hint="eastAsia" w:ascii="宋体" w:hAnsi="宋体" w:cs="宋体"/>
          <w:color w:val="000000"/>
          <w:sz w:val="24"/>
          <w:szCs w:val="24"/>
          <w:u w:val="single"/>
        </w:rPr>
        <w:t xml:space="preserve">      元</w:t>
      </w:r>
      <w:r>
        <w:rPr>
          <w:rFonts w:hint="eastAsia" w:ascii="宋体" w:hAnsi="宋体" w:cs="宋体"/>
          <w:color w:val="000000"/>
          <w:sz w:val="24"/>
          <w:szCs w:val="24"/>
        </w:rPr>
        <w:t>的履约保证金，</w:t>
      </w:r>
      <w:r>
        <w:rPr>
          <w:rFonts w:hint="eastAsia" w:ascii="宋体" w:hAnsi="宋体"/>
          <w:sz w:val="24"/>
          <w:szCs w:val="24"/>
        </w:rPr>
        <w:t>乙方按要求保质保量的完成后，甲方凭乙方提交的申请，一次性无息退还该合同的履约保证金。（保险除外）</w:t>
      </w:r>
    </w:p>
    <w:p>
      <w:pPr>
        <w:snapToGrid w:val="0"/>
        <w:spacing w:line="480" w:lineRule="exact"/>
        <w:ind w:firstLine="494" w:firstLineChars="206"/>
        <w:outlineLvl w:val="1"/>
        <w:rPr>
          <w:rFonts w:ascii="宋体" w:hAnsi="宋体" w:cs="宋体"/>
          <w:color w:val="000000"/>
          <w:sz w:val="24"/>
          <w:szCs w:val="24"/>
        </w:rPr>
      </w:pPr>
      <w:r>
        <w:rPr>
          <w:rFonts w:hint="eastAsia" w:ascii="宋体" w:hAnsi="宋体" w:cs="宋体"/>
          <w:color w:val="000000"/>
          <w:sz w:val="24"/>
          <w:szCs w:val="24"/>
        </w:rPr>
        <w:t xml:space="preserve"> </w:t>
      </w:r>
      <w:r>
        <w:rPr>
          <w:rFonts w:ascii="宋体" w:hAnsi="宋体" w:cs="宋体"/>
          <w:color w:val="000000"/>
          <w:sz w:val="24"/>
          <w:szCs w:val="24"/>
        </w:rPr>
        <w:t>2.6、由于乙方原因，在签订合同后出现不按合同履行的情况，甲方有权将履约保证金作为违约金，全额不予退还，同时甲方亦有权终止合同，乙方还须承担相应的法律</w:t>
      </w:r>
      <w:r>
        <w:rPr>
          <w:rFonts w:hint="eastAsia" w:ascii="宋体" w:hAnsi="宋体" w:cs="宋体"/>
          <w:color w:val="000000"/>
          <w:sz w:val="24"/>
          <w:szCs w:val="24"/>
        </w:rPr>
        <w:t>赔偿责任。</w:t>
      </w:r>
    </w:p>
    <w:p>
      <w:pPr>
        <w:spacing w:line="440" w:lineRule="exact"/>
        <w:ind w:firstLine="482" w:firstLineChars="200"/>
        <w:rPr>
          <w:rFonts w:hint="eastAsia" w:ascii="宋体" w:hAnsi="宋体" w:cs="宋体"/>
          <w:b/>
          <w:color w:val="000000" w:themeColor="text1"/>
          <w:kern w:val="0"/>
          <w:sz w:val="24"/>
          <w:szCs w:val="24"/>
          <w:lang w:val="zh-CN"/>
          <w14:textFill>
            <w14:solidFill>
              <w14:schemeClr w14:val="tx1"/>
            </w14:solidFill>
          </w14:textFill>
        </w:rPr>
      </w:pPr>
      <w:r>
        <w:rPr>
          <w:rFonts w:hint="eastAsia" w:ascii="宋体" w:hAnsi="宋体" w:cs="宋体"/>
          <w:b/>
          <w:color w:val="000000" w:themeColor="text1"/>
          <w:kern w:val="0"/>
          <w:sz w:val="24"/>
          <w:szCs w:val="24"/>
          <w:lang w:val="zh-CN"/>
          <w14:textFill>
            <w14:solidFill>
              <w14:schemeClr w14:val="tx1"/>
            </w14:solidFill>
          </w14:textFill>
        </w:rPr>
        <w:t>三、项目概况</w:t>
      </w:r>
    </w:p>
    <w:p>
      <w:pPr>
        <w:spacing w:line="440" w:lineRule="exact"/>
        <w:ind w:firstLine="480" w:firstLineChars="200"/>
        <w:rPr>
          <w:rFonts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随着集团的快速发展，对内部精益化、规范化、信息化、数字化、智慧化管理的需求日趋强烈，整合集团IT资源，构建适应和促进集团整体管理、监管的精益信息化管理迫在眉睫。信息化建设方案的主要目的是指导、统筹、规范、引领集团信息化建设，为集团智改数转、高质量发展“数字赋能”，促使大生集团管理架构的优化重组，为集团战略规划的各项发展任务的落实提供支撑与保障。</w:t>
      </w:r>
    </w:p>
    <w:p>
      <w:pPr>
        <w:spacing w:line="440" w:lineRule="exact"/>
        <w:ind w:firstLine="482" w:firstLineChars="200"/>
        <w:rPr>
          <w:rFonts w:hint="eastAsia" w:ascii="宋体" w:hAnsi="宋体" w:cs="宋体"/>
          <w:b/>
          <w:color w:val="000000" w:themeColor="text1"/>
          <w:kern w:val="0"/>
          <w:sz w:val="24"/>
          <w:szCs w:val="24"/>
          <w:lang w:val="zh-CN"/>
          <w14:textFill>
            <w14:solidFill>
              <w14:schemeClr w14:val="tx1"/>
            </w14:solidFill>
          </w14:textFill>
        </w:rPr>
      </w:pPr>
      <w:r>
        <w:rPr>
          <w:rFonts w:hint="eastAsia" w:ascii="宋体" w:hAnsi="宋体" w:cs="宋体"/>
          <w:b/>
          <w:color w:val="000000" w:themeColor="text1"/>
          <w:kern w:val="0"/>
          <w:sz w:val="24"/>
          <w:szCs w:val="24"/>
          <w:lang w:val="zh-CN"/>
          <w14:textFill>
            <w14:solidFill>
              <w14:schemeClr w14:val="tx1"/>
            </w14:solidFill>
          </w14:textFill>
        </w:rPr>
        <w:t>四、招标内容和范围</w:t>
      </w:r>
    </w:p>
    <w:p>
      <w:pPr>
        <w:spacing w:line="440" w:lineRule="exact"/>
        <w:ind w:firstLine="480" w:firstLineChars="200"/>
        <w:rPr>
          <w:rFonts w:hint="eastAsia" w:ascii="宋体" w:hAnsi="宋体" w:cs="宋体"/>
          <w:color w:val="000000" w:themeColor="text1"/>
          <w:kern w:val="0"/>
          <w:sz w:val="24"/>
          <w:szCs w:val="24"/>
          <w:lang w:val="zh-CN"/>
          <w14:textFill>
            <w14:solidFill>
              <w14:schemeClr w14:val="tx1"/>
            </w14:solidFill>
          </w14:textFill>
        </w:rPr>
      </w:pPr>
      <w:r>
        <w:rPr>
          <w:rFonts w:hint="eastAsia" w:ascii="宋体" w:hAnsi="宋体" w:cs="宋体"/>
          <w:color w:val="000000" w:themeColor="text1"/>
          <w:kern w:val="0"/>
          <w:sz w:val="24"/>
          <w:szCs w:val="24"/>
          <w:lang w:val="zh-CN"/>
          <w14:textFill>
            <w14:solidFill>
              <w14:schemeClr w14:val="tx1"/>
            </w14:solidFill>
          </w14:textFill>
        </w:rPr>
        <w:t>结合大生集团信息化建设的实际情况对项目进行市场调研形成调研报告、功能需求、技术方案、招标参数、预算造价概算等进行专业设计，并出具《大生集团信息化建设项目设计方案及预算概算书》等。</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五、项目成果及交付期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(一)设计成果的要求，包含但不限于：</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1、设计说明：包括设计构思、方案特点、功能的实现；</w:t>
      </w:r>
    </w:p>
    <w:p>
      <w:pPr>
        <w:spacing w:line="420" w:lineRule="exact"/>
        <w:ind w:firstLine="480" w:firstLineChars="200"/>
        <w:rPr>
          <w:rFonts w:asciiTheme="minorEastAsia" w:hAnsiTheme="minorEastAsia" w:eastAsiaTheme="minorEastAsia"/>
          <w:sz w:val="24"/>
          <w:szCs w:val="24"/>
          <w:u w:val="thick" w:color="FF0000"/>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thick" w:color="FF0000"/>
        </w:rPr>
        <w:t>本项目招标成交后，成交人须按项目需求，深化设计成果方案，其中须包含项目造价估算表：包括项目建设所选用的软硬件设备设施产品、品牌、规格、型号、技术参数、价格、主要性能及功能说明。</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（二）成果形式</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成果方案及论证材料各</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套，包括成果说明及基础资料汇编。</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成果方案统一装订为A</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格式，数量</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套。</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供论证用演示文件1份（ppt格式，如需要）；</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上述成果的电子文件一套（文字为</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doc</w:t>
      </w:r>
      <w:r>
        <w:rPr>
          <w:rFonts w:hint="eastAsia" w:asciiTheme="minorEastAsia" w:hAnsiTheme="minorEastAsia" w:eastAsiaTheme="minorEastAsia"/>
          <w:sz w:val="24"/>
          <w:szCs w:val="24"/>
          <w:lang w:val="en-US" w:eastAsia="zh-CN"/>
        </w:rPr>
        <w:t>x</w:t>
      </w:r>
      <w:r>
        <w:rPr>
          <w:rFonts w:hint="eastAsia" w:asciiTheme="minorEastAsia" w:hAnsiTheme="minorEastAsia" w:eastAsiaTheme="minorEastAsia"/>
          <w:sz w:val="24"/>
          <w:szCs w:val="24"/>
        </w:rPr>
        <w:t>格式）。</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（三）成果交付期</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合同生效后30日内交付设计成果并经论证通过。</w:t>
      </w:r>
    </w:p>
    <w:p>
      <w:pPr>
        <w:spacing w:line="420" w:lineRule="exact"/>
        <w:ind w:firstLine="482" w:firstLineChars="200"/>
        <w:outlineLvl w:val="1"/>
        <w:rPr>
          <w:rFonts w:asciiTheme="minorEastAsia" w:hAnsiTheme="minorEastAsia" w:eastAsiaTheme="minorEastAsia"/>
          <w:b/>
          <w:sz w:val="24"/>
          <w:szCs w:val="24"/>
        </w:rPr>
      </w:pPr>
      <w:r>
        <w:rPr>
          <w:rFonts w:hint="eastAsia" w:asciiTheme="minorEastAsia" w:hAnsiTheme="minorEastAsia" w:eastAsiaTheme="minorEastAsia"/>
          <w:b/>
          <w:sz w:val="24"/>
          <w:szCs w:val="24"/>
        </w:rPr>
        <w:t>六、其他相关要求</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采购人负责协助供应商搜集基础资料，负责与项目设计相关的协调工作。</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项目建设设计的版权归采购人所有，服务供应商拥有项目建设设计方案的署名权。</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任何单位和个人未经采购人同意都无权以任何形式向社会公开展示本项目建设设计的成果。</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服务供应商提交的项目建设设计成果有下列情形之一的，采购人有权终止合同：</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（1）提交的成果不符合本项目招标文件要求的。</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（2）提交的成果方案内涉及的文字辨认不清，内容不全或行文粗制滥造的。</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（3）未经与采购人协商并同意，逾期上报项目建设设计成果的。</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5.本系统为满足需求，包括但不限于本采购文件所提出的设计要求，作为一个成熟的供应商，应提前考虑因实际差异造成的增补。</w:t>
      </w:r>
    </w:p>
    <w:p>
      <w:pPr>
        <w:spacing w:line="420" w:lineRule="exact"/>
        <w:ind w:firstLine="482" w:firstLineChars="200"/>
        <w:rPr>
          <w:rFonts w:asciiTheme="minorEastAsia" w:hAnsiTheme="minorEastAsia" w:eastAsiaTheme="minorEastAsia"/>
          <w:b/>
          <w:sz w:val="24"/>
          <w:szCs w:val="24"/>
        </w:rPr>
      </w:pPr>
      <w:bookmarkStart w:id="92" w:name="_Toc81879414"/>
      <w:r>
        <w:rPr>
          <w:rFonts w:hint="eastAsia" w:asciiTheme="minorEastAsia" w:hAnsiTheme="minorEastAsia" w:eastAsiaTheme="minorEastAsia"/>
          <w:b/>
          <w:sz w:val="24"/>
          <w:szCs w:val="24"/>
        </w:rPr>
        <w:t>七、甲方责任</w:t>
      </w:r>
    </w:p>
    <w:bookmarkEnd w:id="92"/>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.1甲方指定专人（夏润波）负责本项目的管理、协调和质量控制工作。</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.2甲方应在本合同签订后，协助乙方进行项目调研工作，协调项目所需的相关调研环境，并及时向乙方提供项目涉及的相关资料样本。</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.3甲方应根据乙方提出的要求及时协调业务部门进行必要的沟通和交流。</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w:t>
      </w:r>
      <w:r>
        <w:rPr>
          <w:rFonts w:asciiTheme="minorEastAsia" w:hAnsiTheme="minorEastAsia" w:eastAsiaTheme="minorEastAsia"/>
          <w:sz w:val="24"/>
          <w:szCs w:val="24"/>
        </w:rPr>
        <w:t>.4甲方应严格按照合同约定向乙方支付合同款项。</w:t>
      </w:r>
    </w:p>
    <w:p>
      <w:pPr>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八、乙方责任</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.1乙方指定专人</w:t>
      </w:r>
      <w:r>
        <w:rPr>
          <w:rFonts w:hint="eastAsia" w:asciiTheme="minorEastAsia" w:hAnsiTheme="minorEastAsia" w:eastAsiaTheme="minorEastAsia"/>
          <w:sz w:val="24"/>
          <w:szCs w:val="24"/>
        </w:rPr>
        <w:t>（项目组成员名单，注明负责人）</w:t>
      </w:r>
      <w:r>
        <w:rPr>
          <w:rFonts w:asciiTheme="minorEastAsia" w:hAnsiTheme="minorEastAsia" w:eastAsiaTheme="minorEastAsia"/>
          <w:sz w:val="24"/>
          <w:szCs w:val="24"/>
        </w:rPr>
        <w:t>负责组织项目</w:t>
      </w:r>
      <w:r>
        <w:rPr>
          <w:rFonts w:hint="eastAsia" w:asciiTheme="minorEastAsia" w:hAnsiTheme="minorEastAsia" w:eastAsiaTheme="minorEastAsia"/>
          <w:sz w:val="24"/>
          <w:szCs w:val="24"/>
        </w:rPr>
        <w:t>设计</w:t>
      </w:r>
      <w:r>
        <w:rPr>
          <w:rFonts w:asciiTheme="minorEastAsia" w:hAnsiTheme="minorEastAsia" w:eastAsiaTheme="minorEastAsia"/>
          <w:sz w:val="24"/>
          <w:szCs w:val="24"/>
        </w:rPr>
        <w:t>工作并负责与甲方协调配合。</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.2乙方</w:t>
      </w:r>
      <w:r>
        <w:rPr>
          <w:rFonts w:hint="eastAsia" w:asciiTheme="minorEastAsia" w:hAnsiTheme="minorEastAsia" w:eastAsiaTheme="minorEastAsia"/>
          <w:sz w:val="24"/>
          <w:szCs w:val="24"/>
        </w:rPr>
        <w:t>按招标文件的要求</w:t>
      </w:r>
      <w:r>
        <w:rPr>
          <w:rFonts w:asciiTheme="minorEastAsia" w:hAnsiTheme="minorEastAsia" w:eastAsiaTheme="minorEastAsia"/>
          <w:sz w:val="24"/>
          <w:szCs w:val="24"/>
        </w:rPr>
        <w:t>负责项目的</w:t>
      </w:r>
      <w:r>
        <w:rPr>
          <w:rFonts w:hint="eastAsia" w:asciiTheme="minorEastAsia" w:hAnsiTheme="minorEastAsia" w:eastAsiaTheme="minorEastAsia"/>
          <w:sz w:val="24"/>
          <w:szCs w:val="24"/>
        </w:rPr>
        <w:t>设计、编制、咨询</w:t>
      </w:r>
      <w:r>
        <w:rPr>
          <w:rFonts w:asciiTheme="minorEastAsia" w:hAnsiTheme="minorEastAsia" w:eastAsiaTheme="minorEastAsia"/>
          <w:sz w:val="24"/>
          <w:szCs w:val="24"/>
        </w:rPr>
        <w:t>等相关工作。</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w:t>
      </w:r>
      <w:r>
        <w:rPr>
          <w:rFonts w:asciiTheme="minorEastAsia" w:hAnsiTheme="minorEastAsia" w:eastAsiaTheme="minorEastAsia"/>
          <w:sz w:val="24"/>
          <w:szCs w:val="24"/>
        </w:rPr>
        <w:t>.3</w:t>
      </w:r>
      <w:bookmarkStart w:id="93" w:name="_Toc81879416"/>
      <w:r>
        <w:rPr>
          <w:rFonts w:hint="eastAsia" w:asciiTheme="minorEastAsia" w:hAnsiTheme="minorEastAsia" w:eastAsiaTheme="minorEastAsia"/>
          <w:sz w:val="24"/>
          <w:szCs w:val="24"/>
        </w:rPr>
        <w:t>按甲方要求定期参加例会，汇报计划进度。</w:t>
      </w:r>
    </w:p>
    <w:bookmarkEnd w:id="93"/>
    <w:p>
      <w:pPr>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九、违约责任</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w:t>
      </w:r>
      <w:r>
        <w:rPr>
          <w:rFonts w:asciiTheme="minorEastAsia" w:hAnsiTheme="minorEastAsia" w:eastAsiaTheme="minorEastAsia"/>
          <w:sz w:val="24"/>
          <w:szCs w:val="24"/>
        </w:rPr>
        <w:t>.1因乙方原因未能按招标要求准时交付，则乙方向甲方支付该合同总额10%的违约金。</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w:t>
      </w:r>
      <w:r>
        <w:rPr>
          <w:rFonts w:asciiTheme="minorEastAsia" w:hAnsiTheme="minorEastAsia" w:eastAsiaTheme="minorEastAsia"/>
          <w:sz w:val="24"/>
          <w:szCs w:val="24"/>
        </w:rPr>
        <w:t>.2因甲方原因造成乙方无法按时交付的，则甲方向乙方偿付该批货物总额10%的违约金。</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w:t>
      </w:r>
      <w:r>
        <w:rPr>
          <w:rFonts w:asciiTheme="minorEastAsia" w:hAnsiTheme="minorEastAsia" w:eastAsiaTheme="minorEastAsia"/>
          <w:sz w:val="24"/>
          <w:szCs w:val="24"/>
        </w:rPr>
        <w:t>.3甲方无正当理由逾期付款的，则每日按合同总额的3‰向乙方偿付违约金。</w:t>
      </w:r>
    </w:p>
    <w:p>
      <w:pPr>
        <w:spacing w:line="420" w:lineRule="exact"/>
        <w:ind w:firstLine="482" w:firstLineChars="200"/>
        <w:rPr>
          <w:rFonts w:asciiTheme="minorEastAsia" w:hAnsiTheme="minorEastAsia" w:eastAsiaTheme="minorEastAsia"/>
          <w:b/>
          <w:sz w:val="24"/>
          <w:szCs w:val="24"/>
        </w:rPr>
      </w:pPr>
      <w:bookmarkStart w:id="94" w:name="_Toc81879419"/>
      <w:r>
        <w:rPr>
          <w:rFonts w:hint="eastAsia" w:asciiTheme="minorEastAsia" w:hAnsiTheme="minorEastAsia" w:eastAsiaTheme="minorEastAsia"/>
          <w:b/>
          <w:sz w:val="24"/>
          <w:szCs w:val="24"/>
        </w:rPr>
        <w:t>十、不可抗力</w:t>
      </w:r>
      <w:bookmarkEnd w:id="94"/>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.1由于不可抗力因素（指火灾、地震、洪水、战争等）使乙方不能在合同规定的期限内交货时，乙方必须立即以书面形式通知甲方，并以书面形式向甲方提供有关政府机关所出具的不可抗力因素证明。</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w:t>
      </w:r>
      <w:r>
        <w:rPr>
          <w:rFonts w:asciiTheme="minorEastAsia" w:hAnsiTheme="minorEastAsia" w:eastAsiaTheme="minorEastAsia"/>
          <w:sz w:val="24"/>
          <w:szCs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bookmarkStart w:id="95" w:name="_Toc81879420"/>
    </w:p>
    <w:p>
      <w:pPr>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十一、保密义务</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乙方应当对本协议的内容、因履行本协议或在本协议期间得的或收到的甲方的财务、技术、产品的信息、用户资料或其他标明保密的文件或信件进行保密，如违反保密义务造成损失的，乙方将向甲方负赔偿责任。</w:t>
      </w:r>
    </w:p>
    <w:bookmarkEnd w:id="95"/>
    <w:p>
      <w:pPr>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十二、合同的解除和转让</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.1</w:t>
      </w:r>
      <w:r>
        <w:rPr>
          <w:rFonts w:hint="eastAsia" w:asciiTheme="minorEastAsia" w:hAnsiTheme="minorEastAsia" w:eastAsiaTheme="minorEastAsia"/>
          <w:sz w:val="24"/>
          <w:szCs w:val="24"/>
        </w:rPr>
        <w:t>本合同期限届满时合同自然终止。</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.2</w:t>
      </w:r>
      <w:r>
        <w:rPr>
          <w:rFonts w:hint="eastAsia" w:asciiTheme="minorEastAsia" w:hAnsiTheme="minorEastAsia" w:eastAsiaTheme="minorEastAsia"/>
          <w:sz w:val="24"/>
          <w:szCs w:val="24"/>
        </w:rPr>
        <w:t>甲方和乙方协商一致，可以解除合同。</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.3</w:t>
      </w:r>
      <w:r>
        <w:rPr>
          <w:rFonts w:hint="eastAsia" w:asciiTheme="minorEastAsia" w:hAnsiTheme="minorEastAsia" w:eastAsiaTheme="minorEastAsia"/>
          <w:sz w:val="24"/>
          <w:szCs w:val="24"/>
        </w:rPr>
        <w:t>有下列情形之一，合同一方可以解除合同：</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.3.1 </w:t>
      </w:r>
      <w:r>
        <w:rPr>
          <w:rFonts w:hint="eastAsia" w:asciiTheme="minorEastAsia" w:hAnsiTheme="minorEastAsia" w:eastAsiaTheme="minorEastAsia"/>
          <w:sz w:val="24"/>
          <w:szCs w:val="24"/>
        </w:rPr>
        <w:t>因不可抗力致使不能实现合同目的，未受不可抗力影响的一方有权解除合同；</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.3.2 </w:t>
      </w:r>
      <w:r>
        <w:rPr>
          <w:rFonts w:hint="eastAsia" w:asciiTheme="minorEastAsia" w:hAnsiTheme="minorEastAsia" w:eastAsiaTheme="minorEastAsia"/>
          <w:sz w:val="24"/>
          <w:szCs w:val="24"/>
        </w:rPr>
        <w:t>因合同一方违约导致合同不能履行，另一方有权解除合同；</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.3.3 </w:t>
      </w:r>
      <w:r>
        <w:rPr>
          <w:rFonts w:hint="eastAsia" w:asciiTheme="minorEastAsia" w:hAnsiTheme="minorEastAsia" w:eastAsiaTheme="minorEastAsia"/>
          <w:sz w:val="24"/>
          <w:szCs w:val="24"/>
        </w:rPr>
        <w:t>有权解除合同的一方，应当在违约事实或不可抗力发生之后三十天内书面通知对方以主张解除合同，合同在书面通知到达对方时解除；</w:t>
      </w:r>
    </w:p>
    <w:p>
      <w:pPr>
        <w:spacing w:line="42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.4</w:t>
      </w:r>
      <w:r>
        <w:rPr>
          <w:rFonts w:hint="eastAsia" w:asciiTheme="minorEastAsia" w:hAnsiTheme="minorEastAsia" w:eastAsiaTheme="minorEastAsia"/>
          <w:sz w:val="24"/>
          <w:szCs w:val="24"/>
        </w:rPr>
        <w:t>合同的部分和全部都不得转让。</w:t>
      </w:r>
    </w:p>
    <w:p>
      <w:pPr>
        <w:spacing w:line="42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十三、合同的生效</w:t>
      </w:r>
    </w:p>
    <w:p>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本合同在乙方按规定缴纳了履约保证金且甲乙双方签字盖章后即生效。</w:t>
      </w:r>
    </w:p>
    <w:p>
      <w:pPr>
        <w:snapToGrid w:val="0"/>
        <w:spacing w:line="480" w:lineRule="exact"/>
        <w:outlineLvl w:val="0"/>
        <w:rPr>
          <w:rFonts w:ascii="宋体" w:hAnsi="宋体" w:cs="宋体"/>
          <w:b/>
          <w:bCs/>
          <w:sz w:val="24"/>
          <w:szCs w:val="24"/>
        </w:rPr>
      </w:pPr>
      <w:r>
        <w:rPr>
          <w:rFonts w:hint="eastAsia" w:ascii="宋体" w:hAnsi="宋体" w:cs="宋体"/>
          <w:b/>
          <w:bCs/>
          <w:sz w:val="24"/>
          <w:szCs w:val="24"/>
        </w:rPr>
        <w:t xml:space="preserve">    十四、争议的解决</w:t>
      </w:r>
    </w:p>
    <w:p>
      <w:pPr>
        <w:snapToGrid w:val="0"/>
        <w:spacing w:line="480" w:lineRule="exact"/>
        <w:ind w:firstLine="573"/>
        <w:rPr>
          <w:rFonts w:ascii="宋体" w:hAnsi="宋体"/>
          <w:sz w:val="24"/>
          <w:szCs w:val="24"/>
        </w:rPr>
      </w:pPr>
      <w:r>
        <w:rPr>
          <w:rFonts w:hint="eastAsia" w:ascii="宋体" w:hAnsi="宋体" w:cs="宋体"/>
          <w:sz w:val="24"/>
          <w:szCs w:val="24"/>
        </w:rPr>
        <w:t>甲乙双方因合同发生争议，应在采购人的主持下进行调解，协商不成，任何一方可以向甲方所在地仲裁委员会提出仲裁或者向甲方所在地人民法院起诉。</w:t>
      </w:r>
    </w:p>
    <w:p>
      <w:pPr>
        <w:snapToGrid w:val="0"/>
        <w:spacing w:line="480" w:lineRule="exact"/>
        <w:outlineLvl w:val="0"/>
        <w:rPr>
          <w:rFonts w:ascii="宋体" w:hAnsi="宋体" w:cs="宋体"/>
          <w:b/>
          <w:bCs/>
          <w:sz w:val="24"/>
          <w:szCs w:val="24"/>
        </w:rPr>
      </w:pPr>
      <w:r>
        <w:rPr>
          <w:rFonts w:hint="eastAsia" w:ascii="宋体" w:hAnsi="宋体" w:cs="宋体"/>
          <w:b/>
          <w:bCs/>
          <w:sz w:val="24"/>
          <w:szCs w:val="24"/>
        </w:rPr>
        <w:t xml:space="preserve">    十五、附则</w:t>
      </w:r>
    </w:p>
    <w:p>
      <w:pPr>
        <w:snapToGrid w:val="0"/>
        <w:spacing w:line="480" w:lineRule="exact"/>
        <w:ind w:firstLine="573"/>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.1</w:t>
      </w:r>
      <w:r>
        <w:rPr>
          <w:rFonts w:hint="eastAsia" w:ascii="宋体" w:hAnsi="宋体" w:cs="宋体"/>
          <w:sz w:val="24"/>
          <w:szCs w:val="24"/>
        </w:rPr>
        <w:t>甲方如需增加服务内容或提高服务标准，服务费用根据服务费的费用测算依据相应增加，并通过补充协议加以确认。</w:t>
      </w:r>
    </w:p>
    <w:p>
      <w:pPr>
        <w:snapToGrid w:val="0"/>
        <w:spacing w:line="480" w:lineRule="exact"/>
        <w:ind w:firstLine="573"/>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.2</w:t>
      </w:r>
      <w:r>
        <w:rPr>
          <w:rFonts w:hint="eastAsia" w:ascii="宋体" w:hAnsi="宋体" w:cs="宋体"/>
          <w:sz w:val="24"/>
          <w:szCs w:val="24"/>
        </w:rPr>
        <w:t>双方可对本合同的条款进行补充，以书面形式签订补充协议，补充协议与合同具有同等效力。本合同及其附件和补充协议中未规定的事宜，均遵照中华人民共和国有关法律、法规和规章执行。</w:t>
      </w:r>
    </w:p>
    <w:p>
      <w:pPr>
        <w:snapToGrid w:val="0"/>
        <w:spacing w:line="480" w:lineRule="exact"/>
        <w:ind w:firstLine="614" w:firstLineChars="256"/>
        <w:outlineLvl w:val="1"/>
        <w:rPr>
          <w:rFonts w:asci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.3合同份数：合同一式肆份，采购人、供应商各贰份。</w:t>
      </w:r>
    </w:p>
    <w:p>
      <w:pPr>
        <w:snapToGrid w:val="0"/>
        <w:spacing w:line="480" w:lineRule="exact"/>
        <w:ind w:firstLine="573"/>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.4</w:t>
      </w:r>
      <w:r>
        <w:rPr>
          <w:rFonts w:hint="eastAsia" w:ascii="宋体" w:hAnsi="宋体" w:cs="宋体"/>
          <w:sz w:val="24"/>
          <w:szCs w:val="24"/>
        </w:rPr>
        <w:t>本合同文件使用中文书写、解释和说明。</w:t>
      </w:r>
    </w:p>
    <w:p>
      <w:pPr>
        <w:snapToGrid w:val="0"/>
        <w:spacing w:line="480" w:lineRule="exact"/>
        <w:ind w:firstLine="573"/>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.5</w:t>
      </w:r>
      <w:r>
        <w:rPr>
          <w:rFonts w:hint="eastAsia" w:ascii="宋体" w:hAnsi="宋体" w:cs="宋体"/>
          <w:sz w:val="24"/>
          <w:szCs w:val="24"/>
        </w:rPr>
        <w:t>本合同履行过程中产生的纪要、协议以及中标通知书、采购响应文件和采购文件为本合同的附件，与合同具有同等效力。</w:t>
      </w:r>
    </w:p>
    <w:p>
      <w:pPr>
        <w:snapToGrid w:val="0"/>
        <w:spacing w:line="480" w:lineRule="exact"/>
        <w:ind w:firstLine="573"/>
        <w:rPr>
          <w:rFonts w:ascii="宋体" w:hAnsi="宋体"/>
          <w:sz w:val="24"/>
          <w:szCs w:val="24"/>
        </w:rPr>
      </w:pPr>
      <w:r>
        <w:rPr>
          <w:rFonts w:ascii="宋体" w:hAnsi="宋体" w:cs="宋体"/>
          <w:sz w:val="24"/>
          <w:szCs w:val="24"/>
        </w:rPr>
        <w:t>1</w:t>
      </w:r>
      <w:r>
        <w:rPr>
          <w:rFonts w:hint="eastAsia" w:ascii="宋体" w:hAnsi="宋体" w:cs="宋体"/>
          <w:sz w:val="24"/>
          <w:szCs w:val="24"/>
        </w:rPr>
        <w:t>5</w:t>
      </w:r>
      <w:r>
        <w:rPr>
          <w:rFonts w:ascii="宋体" w:hAnsi="宋体" w:cs="宋体"/>
          <w:sz w:val="24"/>
          <w:szCs w:val="24"/>
        </w:rPr>
        <w:t>.6</w:t>
      </w:r>
      <w:r>
        <w:rPr>
          <w:rFonts w:hint="eastAsia" w:ascii="宋体" w:hAnsi="宋体" w:cs="宋体"/>
          <w:sz w:val="24"/>
          <w:szCs w:val="24"/>
        </w:rPr>
        <w:t>未尽事宜</w:t>
      </w:r>
    </w:p>
    <w:p>
      <w:pPr>
        <w:snapToGrid w:val="0"/>
        <w:spacing w:line="480" w:lineRule="exact"/>
        <w:ind w:firstLine="573"/>
        <w:rPr>
          <w:rFonts w:ascii="宋体" w:hAnsi="宋体"/>
          <w:sz w:val="24"/>
          <w:szCs w:val="24"/>
        </w:rPr>
      </w:pPr>
      <w:r>
        <w:rPr>
          <w:rFonts w:hint="eastAsia" w:ascii="宋体" w:hAnsi="宋体" w:cs="宋体"/>
          <w:sz w:val="24"/>
          <w:szCs w:val="24"/>
        </w:rPr>
        <w:t>本合同未尽事宜应按照《中华人民共和国民法典》、《中华人民共和国政府采购法》及其相关配套法律法规之规定解释。</w:t>
      </w:r>
    </w:p>
    <w:p>
      <w:pPr>
        <w:pStyle w:val="2"/>
        <w:ind w:firstLine="480"/>
      </w:pPr>
    </w:p>
    <w:p>
      <w:pPr>
        <w:spacing w:line="480" w:lineRule="exact"/>
        <w:ind w:firstLine="484" w:firstLineChars="202"/>
        <w:rPr>
          <w:rFonts w:ascii="宋体" w:hAnsi="宋体"/>
          <w:kern w:val="0"/>
          <w:sz w:val="24"/>
          <w:szCs w:val="24"/>
        </w:rPr>
      </w:pPr>
      <w:r>
        <w:rPr>
          <w:rFonts w:hint="eastAsia" w:ascii="宋体" w:hAnsi="宋体" w:cs="宋体"/>
          <w:kern w:val="0"/>
          <w:sz w:val="24"/>
          <w:szCs w:val="24"/>
        </w:rPr>
        <w:t>采购单位（或甲方）：          成交供应商（或乙方）：</w:t>
      </w:r>
    </w:p>
    <w:p>
      <w:pPr>
        <w:spacing w:line="480" w:lineRule="exact"/>
        <w:ind w:firstLine="484" w:firstLineChars="202"/>
        <w:rPr>
          <w:rFonts w:ascii="宋体" w:hAnsi="宋体"/>
          <w:kern w:val="0"/>
          <w:sz w:val="24"/>
          <w:szCs w:val="24"/>
        </w:rPr>
      </w:pPr>
      <w:r>
        <w:rPr>
          <w:rFonts w:hint="eastAsia" w:ascii="宋体" w:hAnsi="宋体" w:cs="宋体"/>
          <w:kern w:val="0"/>
          <w:sz w:val="24"/>
          <w:szCs w:val="24"/>
        </w:rPr>
        <w:t>法定代表人：                 法定代表人：</w:t>
      </w:r>
    </w:p>
    <w:p>
      <w:pPr>
        <w:spacing w:line="480" w:lineRule="exact"/>
        <w:ind w:firstLine="484" w:firstLineChars="202"/>
        <w:rPr>
          <w:rFonts w:hint="eastAsia" w:ascii="宋体" w:hAnsi="宋体" w:cs="宋体"/>
          <w:kern w:val="0"/>
          <w:sz w:val="24"/>
          <w:szCs w:val="24"/>
        </w:rPr>
      </w:pPr>
      <w:r>
        <w:rPr>
          <w:rFonts w:hint="eastAsia" w:ascii="宋体" w:hAnsi="宋体" w:cs="宋体"/>
          <w:kern w:val="0"/>
          <w:sz w:val="24"/>
          <w:szCs w:val="24"/>
        </w:rPr>
        <w:t>或委托代理人：               或委托代理人</w:t>
      </w:r>
    </w:p>
    <w:p>
      <w:pPr>
        <w:ind w:firstLine="5160" w:firstLineChars="2150"/>
      </w:pPr>
      <w:r>
        <w:rPr>
          <w:rFonts w:hint="eastAsia" w:ascii="宋体" w:hAnsi="宋体" w:cs="宋体"/>
          <w:kern w:val="0"/>
          <w:sz w:val="24"/>
          <w:szCs w:val="24"/>
        </w:rPr>
        <w:t xml:space="preserve">       日期：  年  月  日</w:t>
      </w:r>
    </w:p>
    <w:p>
      <w:pPr>
        <w:spacing w:line="360" w:lineRule="auto"/>
        <w:jc w:val="left"/>
        <w:rPr>
          <w:rFonts w:ascii="宋体" w:hAnsi="宋体"/>
          <w:b/>
          <w:color w:val="000000"/>
          <w:sz w:val="24"/>
        </w:rPr>
      </w:pPr>
      <w:r>
        <w:rPr>
          <w:rFonts w:hint="eastAsia" w:ascii="宋体" w:hAnsi="宋体"/>
          <w:b/>
          <w:color w:val="000000"/>
          <w:sz w:val="24"/>
        </w:rPr>
        <w:t>附件：</w:t>
      </w:r>
    </w:p>
    <w:p>
      <w:pPr>
        <w:spacing w:line="360" w:lineRule="auto"/>
        <w:jc w:val="left"/>
        <w:rPr>
          <w:rFonts w:ascii="宋体" w:hAnsi="宋体"/>
          <w:b/>
          <w:color w:val="000000"/>
          <w:sz w:val="24"/>
        </w:rPr>
      </w:pPr>
      <w:r>
        <w:rPr>
          <w:rFonts w:hint="eastAsia" w:ascii="宋体" w:hAnsi="宋体"/>
          <w:b/>
          <w:color w:val="000000"/>
          <w:sz w:val="24"/>
        </w:rPr>
        <w:t xml:space="preserve">                                    廉洁合作协议书</w:t>
      </w:r>
    </w:p>
    <w:p>
      <w:pPr>
        <w:spacing w:line="360" w:lineRule="auto"/>
        <w:rPr>
          <w:rFonts w:ascii="宋体" w:hAnsi="宋体"/>
          <w:color w:val="000000"/>
          <w:sz w:val="24"/>
        </w:rPr>
      </w:pPr>
    </w:p>
    <w:p>
      <w:pPr>
        <w:spacing w:line="360" w:lineRule="auto"/>
        <w:rPr>
          <w:rFonts w:ascii="宋体" w:hAnsi="宋体"/>
          <w:b/>
          <w:bCs/>
          <w:color w:val="000000"/>
          <w:sz w:val="24"/>
        </w:rPr>
      </w:pPr>
      <w:r>
        <w:rPr>
          <w:rFonts w:hint="eastAsia" w:ascii="宋体" w:hAnsi="宋体"/>
          <w:b/>
          <w:bCs/>
          <w:color w:val="000000"/>
          <w:sz w:val="24"/>
        </w:rPr>
        <w:t>甲方：</w:t>
      </w:r>
    </w:p>
    <w:p>
      <w:pPr>
        <w:spacing w:line="360" w:lineRule="auto"/>
        <w:rPr>
          <w:rFonts w:ascii="宋体" w:hAnsi="宋体"/>
          <w:b/>
          <w:bCs/>
          <w:color w:val="000000"/>
          <w:sz w:val="24"/>
        </w:rPr>
      </w:pPr>
    </w:p>
    <w:p>
      <w:pPr>
        <w:spacing w:line="360" w:lineRule="auto"/>
        <w:rPr>
          <w:rFonts w:ascii="宋体" w:hAnsi="宋体"/>
          <w:color w:val="000000"/>
          <w:sz w:val="24"/>
          <w:u w:val="single"/>
        </w:rPr>
      </w:pPr>
      <w:r>
        <w:rPr>
          <w:rFonts w:hint="eastAsia" w:ascii="宋体" w:hAnsi="宋体"/>
          <w:b/>
          <w:bCs/>
          <w:color w:val="000000"/>
          <w:sz w:val="24"/>
        </w:rPr>
        <w:t>乙方：</w:t>
      </w:r>
      <w:r>
        <w:rPr>
          <w:rFonts w:ascii="宋体" w:hAnsi="宋体"/>
          <w:color w:val="000000"/>
          <w:sz w:val="24"/>
          <w:u w:val="single"/>
        </w:rPr>
        <w:t xml:space="preserve"> </w:t>
      </w:r>
    </w:p>
    <w:p>
      <w:pPr>
        <w:spacing w:line="360" w:lineRule="auto"/>
        <w:ind w:firstLine="48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甲乙双方已于【 】年【 】月【 】日签署了</w:t>
      </w:r>
      <w:r>
        <w:rPr>
          <w:rFonts w:hint="eastAsia" w:ascii="宋体" w:hAnsi="宋体"/>
          <w:bCs/>
          <w:color w:val="000000"/>
          <w:sz w:val="24"/>
        </w:rPr>
        <w:t>合同</w:t>
      </w:r>
      <w:r>
        <w:rPr>
          <w:rFonts w:ascii="宋体" w:hAnsi="宋体"/>
          <w:color w:val="000000"/>
          <w:sz w:val="24"/>
        </w:rPr>
        <w:t>，为加强</w:t>
      </w:r>
      <w:r>
        <w:rPr>
          <w:rFonts w:hint="eastAsia" w:ascii="宋体" w:hAnsi="宋体"/>
          <w:color w:val="000000"/>
          <w:sz w:val="24"/>
        </w:rPr>
        <w:t>项目实施期</w:t>
      </w:r>
      <w:r>
        <w:rPr>
          <w:rFonts w:ascii="宋体" w:hAnsi="宋体"/>
          <w:color w:val="000000"/>
          <w:sz w:val="24"/>
        </w:rPr>
        <w:t>间的廉洁合作，确保项目</w:t>
      </w:r>
      <w:r>
        <w:rPr>
          <w:rFonts w:hint="eastAsia" w:ascii="宋体" w:hAnsi="宋体"/>
          <w:color w:val="000000"/>
          <w:sz w:val="24"/>
        </w:rPr>
        <w:t>设计</w:t>
      </w:r>
      <w:r>
        <w:rPr>
          <w:rFonts w:ascii="宋体" w:hAnsi="宋体"/>
          <w:color w:val="000000"/>
          <w:sz w:val="24"/>
        </w:rPr>
        <w:t>高效优质按期</w:t>
      </w:r>
      <w:r>
        <w:rPr>
          <w:rFonts w:hint="eastAsia" w:ascii="宋体" w:hAnsi="宋体"/>
          <w:color w:val="000000"/>
          <w:sz w:val="24"/>
        </w:rPr>
        <w:t>完成</w:t>
      </w:r>
      <w:r>
        <w:rPr>
          <w:rFonts w:ascii="宋体" w:hAnsi="宋体"/>
          <w:color w:val="000000"/>
          <w:sz w:val="24"/>
        </w:rPr>
        <w:t>，甲乙双方经协商签定本协议并作为双方共同遵守的廉洁合作行为准则。</w:t>
      </w:r>
    </w:p>
    <w:p>
      <w:pPr>
        <w:numPr>
          <w:ilvl w:val="0"/>
          <w:numId w:val="3"/>
        </w:numPr>
        <w:tabs>
          <w:tab w:val="left" w:pos="282"/>
          <w:tab w:val="clear" w:pos="891"/>
        </w:tabs>
        <w:spacing w:line="360" w:lineRule="auto"/>
        <w:ind w:hanging="891"/>
        <w:rPr>
          <w:rFonts w:ascii="宋体" w:hAnsi="宋体"/>
          <w:b/>
          <w:bCs/>
          <w:color w:val="000000"/>
          <w:sz w:val="24"/>
        </w:rPr>
      </w:pPr>
      <w:r>
        <w:rPr>
          <w:rFonts w:hint="eastAsia" w:ascii="宋体" w:hAnsi="宋体"/>
          <w:b/>
          <w:bCs/>
          <w:color w:val="000000"/>
          <w:sz w:val="24"/>
        </w:rPr>
        <w:t>甲方责任：</w:t>
      </w:r>
    </w:p>
    <w:p>
      <w:pPr>
        <w:numPr>
          <w:ilvl w:val="1"/>
          <w:numId w:val="4"/>
        </w:numPr>
        <w:tabs>
          <w:tab w:val="left" w:pos="540"/>
          <w:tab w:val="clear" w:pos="845"/>
        </w:tabs>
        <w:spacing w:line="360" w:lineRule="auto"/>
        <w:ind w:left="0" w:firstLine="0"/>
        <w:rPr>
          <w:rFonts w:ascii="宋体" w:hAnsi="宋体"/>
          <w:color w:val="000000"/>
          <w:sz w:val="24"/>
        </w:rPr>
      </w:pPr>
      <w:r>
        <w:rPr>
          <w:rFonts w:ascii="宋体" w:hAnsi="宋体"/>
          <w:color w:val="000000"/>
          <w:sz w:val="24"/>
        </w:rPr>
        <w:t>甲方有责任向乙方介绍本单位有关廉洁合作管理的各项制度和规定。</w:t>
      </w:r>
    </w:p>
    <w:p>
      <w:pPr>
        <w:numPr>
          <w:ilvl w:val="1"/>
          <w:numId w:val="4"/>
        </w:numPr>
        <w:tabs>
          <w:tab w:val="left" w:pos="540"/>
          <w:tab w:val="clear" w:pos="845"/>
        </w:tabs>
        <w:spacing w:line="360" w:lineRule="auto"/>
        <w:ind w:left="0" w:firstLine="0"/>
        <w:rPr>
          <w:rFonts w:ascii="宋体" w:hAnsi="宋体"/>
          <w:color w:val="000000"/>
          <w:sz w:val="24"/>
        </w:rPr>
      </w:pPr>
      <w:r>
        <w:rPr>
          <w:rFonts w:ascii="宋体" w:hAnsi="宋体"/>
          <w:color w:val="000000"/>
          <w:sz w:val="24"/>
        </w:rPr>
        <w:t>甲方有责任对本单位项目管理人员进行廉洁合作教育。</w:t>
      </w:r>
    </w:p>
    <w:p>
      <w:pPr>
        <w:numPr>
          <w:ilvl w:val="1"/>
          <w:numId w:val="4"/>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甲方人员应严格遵守本单位有关廉洁合作管理的规定，不得接受乙方的宴请，不得接受任何形式的实物、现金或礼券。</w:t>
      </w:r>
    </w:p>
    <w:p>
      <w:pPr>
        <w:numPr>
          <w:ilvl w:val="1"/>
          <w:numId w:val="4"/>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甲方在工程项目建设期间发现甲方人员任何形式的索贿受贿行为，均应及时采取措施予以制止，并及时通报乙方。</w:t>
      </w:r>
    </w:p>
    <w:p>
      <w:pPr>
        <w:numPr>
          <w:ilvl w:val="1"/>
          <w:numId w:val="4"/>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甲方人员如违反廉洁合作管理制度及本协议规定，甲方应视情节轻重、影响大小给予行政及经济处罚。</w:t>
      </w:r>
    </w:p>
    <w:p>
      <w:pPr>
        <w:numPr>
          <w:ilvl w:val="1"/>
          <w:numId w:val="4"/>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对于乙方举报甲方人员违反廉洁合作规定的情况，甲方应及时进行调查，根据调查情况进行处理。</w:t>
      </w:r>
    </w:p>
    <w:p>
      <w:pPr>
        <w:numPr>
          <w:ilvl w:val="0"/>
          <w:numId w:val="3"/>
        </w:numPr>
        <w:tabs>
          <w:tab w:val="left" w:pos="282"/>
          <w:tab w:val="clear" w:pos="891"/>
        </w:tabs>
        <w:spacing w:line="360" w:lineRule="auto"/>
        <w:ind w:hanging="891"/>
        <w:rPr>
          <w:rFonts w:ascii="宋体" w:hAnsi="宋体"/>
          <w:b/>
          <w:bCs/>
          <w:color w:val="000000"/>
          <w:sz w:val="24"/>
        </w:rPr>
      </w:pPr>
      <w:r>
        <w:rPr>
          <w:rFonts w:hint="eastAsia" w:ascii="宋体" w:hAnsi="宋体"/>
          <w:b/>
          <w:bCs/>
          <w:color w:val="000000"/>
          <w:sz w:val="24"/>
        </w:rPr>
        <w:t>乙方责任</w:t>
      </w:r>
    </w:p>
    <w:p>
      <w:pPr>
        <w:numPr>
          <w:ilvl w:val="1"/>
          <w:numId w:val="5"/>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乙方应保证乙方有关人员了解甲方单位有关廉洁合作管理的各项制度及本协议的规定，并遵照执行。</w:t>
      </w:r>
    </w:p>
    <w:p>
      <w:pPr>
        <w:numPr>
          <w:ilvl w:val="1"/>
          <w:numId w:val="5"/>
        </w:numPr>
        <w:tabs>
          <w:tab w:val="left" w:pos="540"/>
          <w:tab w:val="clear" w:pos="845"/>
        </w:tabs>
        <w:spacing w:line="360" w:lineRule="auto"/>
        <w:ind w:left="0" w:firstLine="0"/>
        <w:rPr>
          <w:rFonts w:ascii="宋体" w:hAnsi="宋体"/>
          <w:color w:val="000000"/>
          <w:sz w:val="24"/>
        </w:rPr>
      </w:pPr>
      <w:r>
        <w:rPr>
          <w:rFonts w:ascii="宋体" w:hAnsi="宋体"/>
          <w:color w:val="000000"/>
          <w:sz w:val="24"/>
        </w:rPr>
        <w:t>乙方不得宴请甲方人员，不得以任何形式赠送实物、现金或礼券。</w:t>
      </w:r>
    </w:p>
    <w:p>
      <w:pPr>
        <w:numPr>
          <w:ilvl w:val="1"/>
          <w:numId w:val="5"/>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乙方单位在工程项目建设期间发现乙方人员</w:t>
      </w:r>
      <w:r>
        <w:rPr>
          <w:rFonts w:hint="eastAsia" w:ascii="宋体" w:hAnsi="宋体"/>
          <w:color w:val="000000"/>
          <w:sz w:val="24"/>
        </w:rPr>
        <w:t>有</w:t>
      </w:r>
      <w:r>
        <w:rPr>
          <w:rFonts w:ascii="宋体" w:hAnsi="宋体"/>
          <w:color w:val="000000"/>
          <w:sz w:val="24"/>
        </w:rPr>
        <w:t>任何向甲方人员行贿</w:t>
      </w:r>
      <w:r>
        <w:rPr>
          <w:rFonts w:hint="eastAsia" w:ascii="宋体" w:hAnsi="宋体"/>
          <w:color w:val="000000"/>
          <w:sz w:val="24"/>
        </w:rPr>
        <w:t>的</w:t>
      </w:r>
      <w:r>
        <w:rPr>
          <w:rFonts w:ascii="宋体" w:hAnsi="宋体"/>
          <w:color w:val="000000"/>
          <w:sz w:val="24"/>
        </w:rPr>
        <w:t>行为，均应及时采取措施予以制止，并及时通报甲方。</w:t>
      </w:r>
    </w:p>
    <w:p>
      <w:pPr>
        <w:numPr>
          <w:ilvl w:val="1"/>
          <w:numId w:val="5"/>
        </w:numPr>
        <w:tabs>
          <w:tab w:val="left" w:pos="540"/>
          <w:tab w:val="clear" w:pos="845"/>
        </w:tabs>
        <w:spacing w:line="360" w:lineRule="auto"/>
        <w:ind w:left="0" w:firstLine="0"/>
        <w:rPr>
          <w:rFonts w:ascii="宋体" w:hAnsi="宋体"/>
          <w:color w:val="000000"/>
          <w:sz w:val="24"/>
        </w:rPr>
      </w:pPr>
      <w:r>
        <w:rPr>
          <w:rFonts w:ascii="宋体" w:hAnsi="宋体"/>
          <w:color w:val="000000"/>
          <w:sz w:val="24"/>
        </w:rPr>
        <w:t>乙方有责任接受甲方对乙方在工程项目建设期间廉洁合作管理执行情况的监督。</w:t>
      </w:r>
    </w:p>
    <w:p>
      <w:pPr>
        <w:numPr>
          <w:ilvl w:val="1"/>
          <w:numId w:val="5"/>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乙方单位人员有义务就甲方人员任何形式的索贿或受贿行为及时向甲方</w:t>
      </w:r>
      <w:r>
        <w:rPr>
          <w:rFonts w:hint="eastAsia" w:ascii="宋体" w:hAnsi="宋体"/>
          <w:color w:val="000000"/>
          <w:sz w:val="24"/>
        </w:rPr>
        <w:t>举报；如乙方向甲方人员行贿，或甲方人员向乙方索贿，乙方满足其要求且并未向甲方举报的，一经查实，除追回由此给甲方造成的损失外，乙方承诺在总价的基础上再让利</w:t>
      </w:r>
      <w:r>
        <w:rPr>
          <w:rFonts w:ascii="宋体" w:hAnsi="宋体"/>
          <w:color w:val="000000"/>
          <w:sz w:val="24"/>
        </w:rPr>
        <w:t>10%，并对本方知情不报人员进行相应处罚。</w:t>
      </w:r>
    </w:p>
    <w:p>
      <w:pPr>
        <w:numPr>
          <w:ilvl w:val="1"/>
          <w:numId w:val="5"/>
        </w:numPr>
        <w:tabs>
          <w:tab w:val="left" w:pos="540"/>
          <w:tab w:val="clear" w:pos="845"/>
        </w:tabs>
        <w:spacing w:line="360" w:lineRule="auto"/>
        <w:ind w:left="540" w:hanging="540" w:hangingChars="225"/>
        <w:rPr>
          <w:rFonts w:ascii="宋体" w:hAnsi="宋体"/>
          <w:color w:val="000000"/>
          <w:sz w:val="24"/>
        </w:rPr>
      </w:pPr>
      <w:r>
        <w:rPr>
          <w:rFonts w:ascii="宋体" w:hAnsi="宋体"/>
          <w:color w:val="000000"/>
          <w:sz w:val="24"/>
        </w:rPr>
        <w:t>如因乙方单位及人员在工程项目建设期间贿赂甲方人员，被</w:t>
      </w:r>
      <w:r>
        <w:rPr>
          <w:rFonts w:hint="eastAsia" w:ascii="宋体" w:hAnsi="宋体"/>
          <w:color w:val="000000"/>
          <w:sz w:val="24"/>
        </w:rPr>
        <w:t>司法</w:t>
      </w:r>
      <w:r>
        <w:rPr>
          <w:rFonts w:ascii="宋体" w:hAnsi="宋体"/>
          <w:color w:val="000000"/>
          <w:sz w:val="24"/>
        </w:rPr>
        <w:t>机关立案查处的，甲方有权取消或终止</w:t>
      </w:r>
      <w:r>
        <w:rPr>
          <w:rFonts w:hint="eastAsia" w:ascii="宋体" w:hAnsi="宋体"/>
          <w:color w:val="000000"/>
          <w:sz w:val="24"/>
        </w:rPr>
        <w:t>与乙方签订</w:t>
      </w:r>
      <w:r>
        <w:rPr>
          <w:rFonts w:ascii="宋体" w:hAnsi="宋体"/>
          <w:color w:val="000000"/>
          <w:sz w:val="24"/>
        </w:rPr>
        <w:t>合同的履行，由此给甲方造成的损失由乙方负责赔偿。</w:t>
      </w:r>
    </w:p>
    <w:p>
      <w:pPr>
        <w:spacing w:line="360" w:lineRule="auto"/>
        <w:rPr>
          <w:rFonts w:ascii="宋体" w:hAnsi="宋体"/>
          <w:color w:val="000000"/>
          <w:sz w:val="24"/>
        </w:rPr>
      </w:pPr>
    </w:p>
    <w:p>
      <w:pPr>
        <w:spacing w:line="360" w:lineRule="auto"/>
        <w:rPr>
          <w:rFonts w:ascii="宋体" w:hAnsi="宋体"/>
          <w:color w:val="000000"/>
          <w:sz w:val="24"/>
        </w:rPr>
      </w:pPr>
    </w:p>
    <w:tbl>
      <w:tblPr>
        <w:tblStyle w:val="53"/>
        <w:tblpPr w:leftFromText="180" w:rightFromText="180" w:vertAnchor="text" w:horzAnchor="margin" w:tblpX="108" w:tblpY="1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788" w:type="dxa"/>
            <w:tcBorders>
              <w:top w:val="nil"/>
              <w:left w:val="nil"/>
              <w:bottom w:val="nil"/>
              <w:right w:val="nil"/>
            </w:tcBorders>
          </w:tcPr>
          <w:p>
            <w:pPr>
              <w:spacing w:line="360" w:lineRule="auto"/>
              <w:rPr>
                <w:rFonts w:ascii="宋体" w:hAnsi="宋体"/>
                <w:b/>
                <w:bCs/>
                <w:color w:val="000000"/>
                <w:sz w:val="24"/>
              </w:rPr>
            </w:pPr>
            <w:r>
              <w:rPr>
                <w:rFonts w:hint="eastAsia" w:ascii="宋体" w:hAnsi="宋体"/>
                <w:b/>
                <w:bCs/>
                <w:color w:val="000000"/>
                <w:sz w:val="24"/>
              </w:rPr>
              <w:t>甲方</w:t>
            </w:r>
            <w:r>
              <w:rPr>
                <w:rFonts w:ascii="宋体" w:hAnsi="宋体"/>
                <w:b/>
                <w:bCs/>
                <w:color w:val="000000"/>
                <w:sz w:val="24"/>
              </w:rPr>
              <w:t>：</w:t>
            </w:r>
          </w:p>
        </w:tc>
        <w:tc>
          <w:tcPr>
            <w:tcW w:w="4932" w:type="dxa"/>
            <w:tcBorders>
              <w:top w:val="nil"/>
              <w:left w:val="nil"/>
              <w:bottom w:val="nil"/>
              <w:right w:val="nil"/>
            </w:tcBorders>
          </w:tcPr>
          <w:p>
            <w:pPr>
              <w:spacing w:line="360" w:lineRule="auto"/>
              <w:rPr>
                <w:rFonts w:ascii="宋体" w:hAnsi="宋体"/>
                <w:b/>
                <w:bCs/>
                <w:color w:val="000000"/>
                <w:sz w:val="24"/>
              </w:rPr>
            </w:pPr>
            <w:r>
              <w:rPr>
                <w:rFonts w:hint="eastAsia" w:ascii="宋体" w:hAnsi="宋体"/>
                <w:b/>
                <w:bCs/>
                <w:color w:val="000000"/>
                <w:sz w:val="24"/>
              </w:rPr>
              <w:t>乙方</w:t>
            </w:r>
            <w:r>
              <w:rPr>
                <w:rFonts w:ascii="宋体" w:hAnsi="宋体"/>
                <w:b/>
                <w:bCs/>
                <w:color w:val="000000"/>
                <w:sz w:val="24"/>
              </w:rPr>
              <w:t>：</w:t>
            </w:r>
            <w:r>
              <w:rPr>
                <w:rFonts w:hint="eastAsia" w:ascii="宋体" w:hAnsi="宋体"/>
                <w:b/>
                <w:bCs/>
                <w:color w:val="000000"/>
                <w:sz w:val="24"/>
              </w:rPr>
              <w:t xml:space="preserve">_____________________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ascii="宋体" w:hAnsi="宋体"/>
                <w:b/>
                <w:bCs/>
                <w:color w:val="000000"/>
                <w:sz w:val="24"/>
              </w:rPr>
              <w:t>法定代表人</w:t>
            </w:r>
            <w:r>
              <w:rPr>
                <w:rFonts w:hint="eastAsia" w:ascii="宋体" w:hAnsi="宋体"/>
                <w:b/>
                <w:bCs/>
                <w:color w:val="000000"/>
                <w:sz w:val="24"/>
              </w:rPr>
              <w:t>或其授权代表</w:t>
            </w:r>
            <w:r>
              <w:rPr>
                <w:rFonts w:ascii="宋体" w:hAnsi="宋体"/>
                <w:b/>
                <w:bCs/>
                <w:color w:val="000000"/>
                <w:sz w:val="24"/>
              </w:rPr>
              <w:t>：</w:t>
            </w:r>
          </w:p>
        </w:tc>
        <w:tc>
          <w:tcPr>
            <w:tcW w:w="4932"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ascii="宋体" w:hAnsi="宋体"/>
                <w:b/>
                <w:bCs/>
                <w:color w:val="000000"/>
                <w:sz w:val="24"/>
              </w:rPr>
              <w:t>法定代表人</w:t>
            </w:r>
            <w:r>
              <w:rPr>
                <w:rFonts w:hint="eastAsia" w:ascii="宋体" w:hAnsi="宋体"/>
                <w:b/>
                <w:bCs/>
                <w:color w:val="000000"/>
                <w:sz w:val="24"/>
              </w:rPr>
              <w:t>或其授权代表</w:t>
            </w:r>
            <w:r>
              <w:rPr>
                <w:rFonts w:ascii="宋体" w:hAnsi="宋体"/>
                <w:b/>
                <w:bCs/>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日期：_____________________</w:t>
            </w:r>
          </w:p>
        </w:tc>
        <w:tc>
          <w:tcPr>
            <w:tcW w:w="4932" w:type="dxa"/>
            <w:tcBorders>
              <w:top w:val="nil"/>
              <w:left w:val="nil"/>
              <w:bottom w:val="nil"/>
              <w:right w:val="nil"/>
            </w:tcBorders>
          </w:tcPr>
          <w:p>
            <w:pPr>
              <w:spacing w:line="360" w:lineRule="auto"/>
              <w:rPr>
                <w:rFonts w:ascii="宋体" w:hAnsi="宋体"/>
                <w:b/>
                <w:bCs/>
                <w:color w:val="000000"/>
                <w:sz w:val="24"/>
              </w:rPr>
            </w:pPr>
          </w:p>
          <w:p>
            <w:pPr>
              <w:spacing w:line="360" w:lineRule="auto"/>
              <w:rPr>
                <w:rFonts w:ascii="宋体" w:hAnsi="宋体"/>
                <w:b/>
                <w:bCs/>
                <w:color w:val="000000"/>
                <w:sz w:val="24"/>
              </w:rPr>
            </w:pPr>
            <w:r>
              <w:rPr>
                <w:rFonts w:hint="eastAsia" w:ascii="宋体" w:hAnsi="宋体"/>
                <w:b/>
                <w:bCs/>
                <w:color w:val="000000"/>
                <w:sz w:val="24"/>
              </w:rPr>
              <w:t>日期：_____________________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tc>
        <w:tc>
          <w:tcPr>
            <w:tcW w:w="4932" w:type="dxa"/>
            <w:tcBorders>
              <w:top w:val="nil"/>
              <w:left w:val="nil"/>
              <w:bottom w:val="nil"/>
              <w:right w:val="nil"/>
            </w:tcBorders>
          </w:tcPr>
          <w:p>
            <w:pPr>
              <w:spacing w:line="360" w:lineRule="auto"/>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tc>
        <w:tc>
          <w:tcPr>
            <w:tcW w:w="4932" w:type="dxa"/>
            <w:tcBorders>
              <w:top w:val="nil"/>
              <w:left w:val="nil"/>
              <w:bottom w:val="nil"/>
              <w:right w:val="nil"/>
            </w:tcBorders>
          </w:tcPr>
          <w:p>
            <w:pPr>
              <w:spacing w:line="360" w:lineRule="auto"/>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Borders>
              <w:top w:val="nil"/>
              <w:left w:val="nil"/>
              <w:bottom w:val="nil"/>
              <w:right w:val="nil"/>
            </w:tcBorders>
          </w:tcPr>
          <w:p>
            <w:pPr>
              <w:spacing w:line="360" w:lineRule="auto"/>
              <w:rPr>
                <w:rFonts w:ascii="宋体" w:hAnsi="宋体"/>
                <w:b/>
                <w:bCs/>
                <w:color w:val="000000"/>
                <w:sz w:val="24"/>
              </w:rPr>
            </w:pPr>
          </w:p>
        </w:tc>
        <w:tc>
          <w:tcPr>
            <w:tcW w:w="4932" w:type="dxa"/>
            <w:tcBorders>
              <w:top w:val="nil"/>
              <w:left w:val="nil"/>
              <w:bottom w:val="nil"/>
              <w:right w:val="nil"/>
            </w:tcBorders>
          </w:tcPr>
          <w:p>
            <w:pPr>
              <w:spacing w:line="360" w:lineRule="auto"/>
              <w:rPr>
                <w:rFonts w:ascii="宋体" w:hAnsi="宋体"/>
                <w:b/>
                <w:bCs/>
                <w:color w:val="000000"/>
                <w:sz w:val="24"/>
              </w:rPr>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tc>
      </w:tr>
    </w:tbl>
    <w:p>
      <w:pPr>
        <w:pStyle w:val="2"/>
        <w:ind w:firstLine="480"/>
      </w:pPr>
    </w:p>
    <w:p>
      <w:pPr>
        <w:pStyle w:val="26"/>
        <w:tabs>
          <w:tab w:val="left" w:pos="1050"/>
          <w:tab w:val="right" w:leader="dot" w:pos="9402"/>
        </w:tabs>
        <w:spacing w:line="520" w:lineRule="exact"/>
        <w:ind w:left="0"/>
        <w:jc w:val="center"/>
        <w:outlineLvl w:val="0"/>
        <w:rPr>
          <w:rFonts w:ascii="宋体"/>
          <w:b/>
          <w:bCs/>
          <w:i w:val="0"/>
          <w:iCs w:val="0"/>
          <w:color w:val="000000" w:themeColor="text1"/>
          <w:w w:val="80"/>
          <w:sz w:val="44"/>
          <w:szCs w:val="44"/>
          <w14:textFill>
            <w14:solidFill>
              <w14:schemeClr w14:val="tx1"/>
            </w14:solidFill>
          </w14:textFill>
        </w:rPr>
      </w:pPr>
      <w:r>
        <w:rPr>
          <w:rFonts w:hint="eastAsia" w:ascii="宋体" w:hAnsi="宋体" w:cs="宋体"/>
          <w:b/>
          <w:bCs/>
          <w:i w:val="0"/>
          <w:iCs w:val="0"/>
          <w:color w:val="000000" w:themeColor="text1"/>
          <w:w w:val="80"/>
          <w:sz w:val="44"/>
          <w:szCs w:val="44"/>
          <w14:textFill>
            <w14:solidFill>
              <w14:schemeClr w14:val="tx1"/>
            </w14:solidFill>
          </w14:textFill>
        </w:rPr>
        <w:t>第六章  合同授予</w:t>
      </w:r>
    </w:p>
    <w:p>
      <w:pPr>
        <w:snapToGrid w:val="0"/>
        <w:spacing w:line="480" w:lineRule="exact"/>
        <w:ind w:firstLine="494" w:firstLineChars="206"/>
        <w:outlineLvl w:val="1"/>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r>
        <w:rPr>
          <w:rFonts w:hint="eastAsia" w:ascii="宋体" w:hAnsi="宋体"/>
          <w:bCs/>
          <w:color w:val="000000" w:themeColor="text1"/>
          <w:sz w:val="24"/>
          <w:szCs w:val="24"/>
          <w14:textFill>
            <w14:solidFill>
              <w14:schemeClr w14:val="tx1"/>
            </w14:solidFill>
          </w14:textFill>
        </w:rPr>
        <w:t>自成交通知书发出之日起15日内，成交供应商凭“成交通知书”与采购人签订合同。</w:t>
      </w:r>
      <w:r>
        <w:rPr>
          <w:rFonts w:hint="eastAsia" w:ascii="宋体" w:hAnsi="宋体"/>
          <w:color w:val="000000" w:themeColor="text1"/>
          <w:sz w:val="24"/>
          <w14:textFill>
            <w14:solidFill>
              <w14:schemeClr w14:val="tx1"/>
            </w14:solidFill>
          </w14:textFill>
        </w:rPr>
        <w:t>本合同一式肆份，采购单位、成交供应商各贰份，所签合同不得对磋商文件作实质性修改。</w:t>
      </w:r>
      <w:r>
        <w:rPr>
          <w:rFonts w:ascii="宋体" w:hAnsi="宋体"/>
          <w:color w:val="000000" w:themeColor="text1"/>
          <w:sz w:val="24"/>
          <w14:textFill>
            <w14:solidFill>
              <w14:schemeClr w14:val="tx1"/>
            </w14:solidFill>
          </w14:textFill>
        </w:rPr>
        <w:t>采购人不得向</w:t>
      </w:r>
      <w:r>
        <w:rPr>
          <w:rFonts w:hint="eastAsia" w:ascii="宋体" w:hAnsi="宋体"/>
          <w:color w:val="000000" w:themeColor="text1"/>
          <w:sz w:val="24"/>
          <w14:textFill>
            <w14:solidFill>
              <w14:schemeClr w14:val="tx1"/>
            </w14:solidFill>
          </w14:textFill>
        </w:rPr>
        <w:t>成交供应商</w:t>
      </w:r>
      <w:r>
        <w:rPr>
          <w:rFonts w:ascii="宋体" w:hAnsi="宋体"/>
          <w:color w:val="000000" w:themeColor="text1"/>
          <w:sz w:val="24"/>
          <w14:textFill>
            <w14:solidFill>
              <w14:schemeClr w14:val="tx1"/>
            </w14:solidFill>
          </w14:textFill>
        </w:rPr>
        <w:t>提出不合理的要求作为签订合同的条件，不得与</w:t>
      </w:r>
      <w:r>
        <w:rPr>
          <w:rFonts w:hint="eastAsia" w:ascii="宋体" w:hAnsi="宋体"/>
          <w:color w:val="000000" w:themeColor="text1"/>
          <w:sz w:val="24"/>
          <w14:textFill>
            <w14:solidFill>
              <w14:schemeClr w14:val="tx1"/>
            </w14:solidFill>
          </w14:textFill>
        </w:rPr>
        <w:t>成交供应商</w:t>
      </w:r>
      <w:r>
        <w:rPr>
          <w:rFonts w:ascii="宋体" w:hAnsi="宋体"/>
          <w:color w:val="000000" w:themeColor="text1"/>
          <w:sz w:val="24"/>
          <w14:textFill>
            <w14:solidFill>
              <w14:schemeClr w14:val="tx1"/>
            </w14:solidFill>
          </w14:textFill>
        </w:rPr>
        <w:t>私下订立背离采购文件实质性内容的协议。</w:t>
      </w:r>
    </w:p>
    <w:p>
      <w:pPr>
        <w:snapToGrid w:val="0"/>
        <w:spacing w:line="480" w:lineRule="exact"/>
        <w:ind w:firstLine="494" w:firstLineChars="206"/>
        <w:outlineLvl w:val="1"/>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二、采购单位按合同约定积极配合成交人履约，成交人履约到位后，请以书面形式向采购单位提出验收申请，采购单位接到申请后原则上在</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个工作日内及时组织相关专业技术人员，必要时邀请质检等部门共同参与验收，并出具验收报告，验收合格的原则上</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个工作日内支付相应款项。</w:t>
      </w:r>
    </w:p>
    <w:p>
      <w:pPr>
        <w:snapToGrid w:val="0"/>
        <w:spacing w:line="480" w:lineRule="exact"/>
        <w:ind w:firstLine="573"/>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采购单位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pPr>
        <w:snapToGrid w:val="0"/>
        <w:spacing w:line="480" w:lineRule="exact"/>
        <w:ind w:firstLine="573"/>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四、成交人出现违约情形，应当及时纠正或补偿；造成损失的，按合同约定追究违约责任；发现有假冒、伪劣、走私产品、商业贿赂等违法情形的，应由采购单位移交工商、质监、公安等行政执法部门依法查处。</w:t>
      </w:r>
    </w:p>
    <w:p>
      <w:pPr>
        <w:snapToGrid w:val="0"/>
        <w:spacing w:line="480" w:lineRule="exact"/>
        <w:ind w:firstLine="573"/>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五、不响应付款方式的，视同响应文件无效，按无效响应文件处理。</w:t>
      </w:r>
    </w:p>
    <w:p>
      <w:pPr>
        <w:snapToGrid w:val="0"/>
        <w:spacing w:line="480" w:lineRule="exact"/>
        <w:ind w:firstLine="573"/>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六、付款方式详见磋商文件第五章</w:t>
      </w:r>
      <w:r>
        <w:rPr>
          <w:rFonts w:hint="eastAsia"/>
          <w:color w:val="000000" w:themeColor="text1"/>
          <w:sz w:val="24"/>
          <w:szCs w:val="24"/>
          <w14:textFill>
            <w14:solidFill>
              <w14:schemeClr w14:val="tx1"/>
            </w14:solidFill>
          </w14:textFill>
        </w:rPr>
        <w:t>，</w:t>
      </w:r>
      <w:r>
        <w:rPr>
          <w:color w:val="000000" w:themeColor="text1"/>
          <w:sz w:val="24"/>
          <w:szCs w:val="24"/>
          <w:shd w:val="clear" w:color="auto" w:fill="FFFFFF"/>
          <w14:textFill>
            <w14:solidFill>
              <w14:schemeClr w14:val="tx1"/>
            </w14:solidFill>
          </w14:textFill>
        </w:rPr>
        <w:t>实际付款方式以最终签订采购合同为准</w:t>
      </w:r>
      <w:r>
        <w:rPr>
          <w:rFonts w:hint="eastAsia" w:ascii="宋体" w:hAnsi="宋体" w:cs="宋体"/>
          <w:color w:val="000000" w:themeColor="text1"/>
          <w:sz w:val="24"/>
          <w:szCs w:val="24"/>
          <w14:textFill>
            <w14:solidFill>
              <w14:schemeClr w14:val="tx1"/>
            </w14:solidFill>
          </w14:textFill>
        </w:rPr>
        <w:t>。</w:t>
      </w:r>
    </w:p>
    <w:p>
      <w:pPr>
        <w:snapToGrid w:val="0"/>
        <w:spacing w:line="480" w:lineRule="exact"/>
        <w:ind w:firstLine="573"/>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七、以上项目款的支付不计息。</w:t>
      </w:r>
    </w:p>
    <w:p>
      <w:pPr>
        <w:snapToGrid w:val="0"/>
        <w:spacing w:line="480" w:lineRule="exact"/>
        <w:ind w:firstLine="573"/>
        <w:jc w:val="center"/>
        <w:rPr>
          <w:rFonts w:ascii="宋体"/>
          <w:color w:val="000000" w:themeColor="text1"/>
          <w:sz w:val="24"/>
          <w:szCs w:val="24"/>
          <w14:textFill>
            <w14:solidFill>
              <w14:schemeClr w14:val="tx1"/>
            </w14:solidFill>
          </w14:textFill>
        </w:rPr>
      </w:pPr>
      <w:r>
        <w:rPr>
          <w:rFonts w:ascii="宋体"/>
          <w:b/>
          <w:bCs/>
          <w:i/>
          <w:iCs/>
          <w:color w:val="000000" w:themeColor="text1"/>
          <w:kern w:val="44"/>
          <w:sz w:val="44"/>
          <w:szCs w:val="44"/>
          <w14:textFill>
            <w14:solidFill>
              <w14:schemeClr w14:val="tx1"/>
            </w14:solidFill>
          </w14:textFill>
        </w:rPr>
        <w:br w:type="page"/>
      </w:r>
      <w:r>
        <w:rPr>
          <w:rFonts w:hint="eastAsia" w:ascii="宋体" w:hAnsi="宋体" w:cs="宋体"/>
          <w:b/>
          <w:bCs/>
          <w:color w:val="000000" w:themeColor="text1"/>
          <w:w w:val="80"/>
          <w:kern w:val="44"/>
          <w:sz w:val="44"/>
          <w:szCs w:val="44"/>
          <w14:textFill>
            <w14:solidFill>
              <w14:schemeClr w14:val="tx1"/>
            </w14:solidFill>
          </w14:textFill>
        </w:rPr>
        <w:t>第七章  质疑提出和处理</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bookmarkStart w:id="96" w:name="_Toc363573860"/>
      <w:r>
        <w:rPr>
          <w:rFonts w:ascii="宋体" w:hAnsi="宋体"/>
          <w:color w:val="000000" w:themeColor="text1"/>
          <w:sz w:val="24"/>
          <w14:textFill>
            <w14:solidFill>
              <w14:schemeClr w14:val="tx1"/>
            </w14:solidFill>
          </w14:textFill>
        </w:rPr>
        <w:t>一、质疑的提出</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1、质疑人必须是直接参加本次投标活动的当事人。</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2、下载招标文件的供应商应根据第二章“投标供应商须知”中第一条第4款的约定提出；响应文件接收截止后，供应商未进行投标登记的，不能就响应文件接收截止后的招投标过程、</w:t>
      </w:r>
      <w:r>
        <w:rPr>
          <w:rFonts w:hint="eastAsia" w:ascii="宋体" w:hAnsi="宋体"/>
          <w:color w:val="000000" w:themeColor="text1"/>
          <w:sz w:val="24"/>
          <w14:textFill>
            <w14:solidFill>
              <w14:schemeClr w14:val="tx1"/>
            </w14:solidFill>
          </w14:textFill>
        </w:rPr>
        <w:t>中标</w:t>
      </w:r>
      <w:r>
        <w:rPr>
          <w:rFonts w:ascii="宋体" w:hAnsi="宋体"/>
          <w:color w:val="000000" w:themeColor="text1"/>
          <w:sz w:val="24"/>
          <w14:textFill>
            <w14:solidFill>
              <w14:schemeClr w14:val="tx1"/>
            </w14:solidFill>
          </w14:textFill>
        </w:rPr>
        <w:t>结果提出质疑；在投标过程中，凡主持人或评标小组明确提出须由供应商确认的事项，供应商当场无异议的，事后不得提出质疑。</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采购人或代理机构。采购人或代理机构不具有法定调查、认定权限。</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对不能提供相关佐证材料的、涉及商业秘密的、非书面形式的、非送达的、匿名的《质疑函》将不予受理。</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相关佐证材料要具备客观性、关联性、合法性，无法查实的（如宣传册、媒体报道、猜测、推理等）不能作为佐证材料。</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采购人或代理机构不负责搜集相关佐证材料等工作。</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二、《质疑函》的受理和回复</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1、《质疑函》须由质疑人的法定代表人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或</w:t>
      </w:r>
      <w:r>
        <w:rPr>
          <w:rFonts w:hint="eastAsia" w:ascii="宋体" w:hAnsi="宋体"/>
          <w:color w:val="000000" w:themeColor="text1"/>
          <w:sz w:val="24"/>
          <w14:textFill>
            <w14:solidFill>
              <w14:schemeClr w14:val="tx1"/>
            </w14:solidFill>
          </w14:textFill>
        </w:rPr>
        <w:t>负责人）</w:t>
      </w:r>
      <w:r>
        <w:rPr>
          <w:rFonts w:ascii="宋体" w:hAnsi="宋体"/>
          <w:color w:val="000000" w:themeColor="text1"/>
          <w:sz w:val="24"/>
          <w14:textFill>
            <w14:solidFill>
              <w14:schemeClr w14:val="tx1"/>
            </w14:solidFill>
          </w14:textFill>
        </w:rPr>
        <w:t>或参加本次投标授权人送达采购人和代理机构。</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对符合提出质疑要求的，采购人、代理机构签收并出具《质疑受理通知书》。在处理过程中，发现需要质疑人进一步补充相关佐证材料的，请质疑人在规定的时间内提供，质疑回复时间相应顺延。质疑人不能按时提供相关佐证材料的，视同放弃质疑。</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3、对不符合提出质疑要求的，出具《质疑退回通知书》并提出相关补充材料要求，质疑人未在规定的时间内提供补充佐证材料的，视同放弃质疑。</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4、采购单位、代理机构负责将质疑人提出的质疑相关材料提供给相关专家或评标小组审核，并将审核意见回复质疑人。</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5、因质疑情况复杂，组织论证或审查时间较长的，采购单位、代理机构以书面形式通知质疑人，可适当延长质疑回复处理时间。</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三、质疑处理</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1、质疑成立的处理。采购单位或代理机构终止采购，并建议有关部门给相关当事人予以处理。</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2、质疑不成立的处理。</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1）质疑人书面《申请撤回质疑函》的，不作违约处理。</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2）质疑人在规定的时间内不配合进行质疑调查处理的，按自动撤回《质疑函》处理。</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3）质疑人不按《质疑函》格式就提出质疑的，作违约处理。同时，视情列入不良供应商名单。</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4）质疑人虽提供了相关佐证材料，但不能证明其质疑成立的，采购单位或代理机构请质疑人补充相关佐证材料，仍不能证明其质疑成立的，作违约处理。并将其列入不良供应商名单。</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5）质疑人不能提供相关佐证材料的，采购单位、代理机构已指出，质疑人仍然坚持提出质疑的，作违约处理。同时，列入不良供应商名单。</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6）对明显有违事实的、经相关专家或评标小组认定无依据的、经其他供应商举证无依据的质疑，作违约处理，列入不良供应商名单。</w:t>
      </w:r>
    </w:p>
    <w:p>
      <w:pPr>
        <w:adjustRightInd w:val="0"/>
        <w:snapToGrid w:val="0"/>
        <w:spacing w:line="500" w:lineRule="exact"/>
        <w:ind w:firstLine="480" w:firstLineChars="200"/>
        <w:contextualSpacing/>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7）质疑人承担使用虚假材料或恶意方式质疑的法律责任。</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四、无佐证材料的举报作违约处理。供应商不得进行不提供相关佐证材料（含无法查实的如宣传册、媒体报道、猜测、推理等）向有关部门的举报，否则作违约处理。</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五、投诉不成立的作违约处理。供应商进行质疑后，采购人回复质疑不成立，供应商仍进行投诉的，并最终投诉不成立的，作违约处理。采购人有权对其在1至3年内禁入由采购人组织的采购活动的违约处理。</w:t>
      </w:r>
    </w:p>
    <w:p>
      <w:pPr>
        <w:adjustRightInd w:val="0"/>
        <w:snapToGrid w:val="0"/>
        <w:spacing w:line="500" w:lineRule="exact"/>
        <w:ind w:firstLine="480" w:firstLineChars="200"/>
        <w:contextualSpacing/>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六、《质疑函》、《质疑回复函》，质疑、举报、投诉不成立的等相关情况，视情在南通政府采购网、省、国家级等相关媒体予以披露。并建议相关政府采购机构对该供应商同步实施1至3年内禁入。</w:t>
      </w:r>
    </w:p>
    <w:p>
      <w:pPr>
        <w:pStyle w:val="5"/>
        <w:keepNext w:val="0"/>
        <w:keepLines w:val="0"/>
        <w:numPr>
          <w:ilvl w:val="0"/>
          <w:numId w:val="0"/>
        </w:numPr>
        <w:snapToGrid w:val="0"/>
        <w:spacing w:before="0" w:afterLines="50" w:line="520" w:lineRule="exact"/>
        <w:ind w:left="420"/>
        <w:jc w:val="center"/>
        <w:rPr>
          <w:rFonts w:ascii="宋体" w:cs="Times New Roman"/>
          <w:color w:val="000000" w:themeColor="text1"/>
          <w14:textFill>
            <w14:solidFill>
              <w14:schemeClr w14:val="tx1"/>
            </w14:solidFill>
          </w14:textFill>
        </w:rPr>
      </w:pPr>
      <w:r>
        <w:rPr>
          <w:rFonts w:ascii="宋体" w:hAnsi="宋体" w:cs="宋体"/>
          <w:bCs w:val="0"/>
          <w:color w:val="000000" w:themeColor="text1"/>
          <w:w w:val="80"/>
          <w:sz w:val="24"/>
          <w:szCs w:val="21"/>
          <w14:textFill>
            <w14:solidFill>
              <w14:schemeClr w14:val="tx1"/>
            </w14:solidFill>
          </w14:textFill>
        </w:rPr>
        <w:br w:type="page"/>
      </w:r>
      <w:r>
        <w:rPr>
          <w:rFonts w:hint="eastAsia" w:ascii="宋体" w:hAnsi="宋体" w:cs="宋体"/>
          <w:color w:val="000000" w:themeColor="text1"/>
          <w:w w:val="80"/>
          <w14:textFill>
            <w14:solidFill>
              <w14:schemeClr w14:val="tx1"/>
            </w14:solidFill>
          </w14:textFill>
        </w:rPr>
        <w:t>第八章  响应文件组成及格式</w:t>
      </w:r>
      <w:bookmarkEnd w:id="96"/>
    </w:p>
    <w:p>
      <w:pPr>
        <w:widowControl/>
        <w:snapToGrid w:val="0"/>
        <w:spacing w:line="360" w:lineRule="auto"/>
        <w:ind w:firstLine="472" w:firstLineChars="196"/>
        <w:jc w:val="left"/>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响应文件由资格审查文件、技术响应文件、商务报价响应文件三部分组成。本次竞争性磋商采用资格后审方式，供应商须将资格审查文件作为响应文件组成部分，按磋商文件要求装订密封后一起递交。</w:t>
      </w:r>
    </w:p>
    <w:p>
      <w:pPr>
        <w:widowControl/>
        <w:snapToGrid w:val="0"/>
        <w:spacing w:line="360" w:lineRule="auto"/>
        <w:ind w:firstLine="472" w:firstLineChars="196"/>
        <w:jc w:val="left"/>
        <w:rPr>
          <w:rFonts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一、资格审查文件</w:t>
      </w:r>
      <w:r>
        <w:rPr>
          <w:rFonts w:hint="eastAsia" w:ascii="宋体" w:hAnsi="宋体" w:cs="宋体"/>
          <w:b/>
          <w:bCs/>
          <w:color w:val="000000" w:themeColor="text1"/>
          <w:sz w:val="24"/>
          <w:szCs w:val="24"/>
          <w:lang w:val="zh-CN"/>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单独密封</w:t>
      </w:r>
      <w:r>
        <w:rPr>
          <w:rFonts w:hint="eastAsia" w:ascii="宋体" w:hAnsi="宋体" w:cs="宋体"/>
          <w:b/>
          <w:bCs/>
          <w:color w:val="000000" w:themeColor="text1"/>
          <w:sz w:val="24"/>
          <w:szCs w:val="24"/>
          <w:lang w:val="zh-CN"/>
          <w14:textFill>
            <w14:solidFill>
              <w14:schemeClr w14:val="tx1"/>
            </w14:solidFill>
          </w14:textFill>
        </w:rPr>
        <w:t>）</w:t>
      </w:r>
    </w:p>
    <w:p>
      <w:pPr>
        <w:pStyle w:val="2"/>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1、法定代表人身份证明书（格式见附件1）；</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2、法定代表人授权委托书原件，投标代表本人身份证复印件；（如有授权，格式见附件2）</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3、供应商符合《政府采购法》第二十二条规定条件的声明函（格式见附件3）；</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4、关于资格的声明函；（格式见附件4）</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5、供应商的企业法人营业执照（副本）复印件及税务登记证（副本）复印件；或者是三证合一的营业执照（副本）复印件；</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6、其它需要提交的资格审查证明材料。</w:t>
      </w:r>
    </w:p>
    <w:p>
      <w:pPr>
        <w:widowControl/>
        <w:snapToGrid w:val="0"/>
        <w:spacing w:line="360" w:lineRule="auto"/>
        <w:ind w:firstLine="470" w:firstLineChars="196"/>
        <w:jc w:val="lef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注：以上材料如为复印件均需加盖单位公章。</w:t>
      </w:r>
    </w:p>
    <w:p>
      <w:pPr>
        <w:widowControl/>
        <w:snapToGrid w:val="0"/>
        <w:spacing w:line="360" w:lineRule="auto"/>
        <w:ind w:firstLine="472" w:firstLineChars="196"/>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二、技术响应文件（单独密封）：</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1、竞争性磋商响应函（格式见附件5）。</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2、评审评分项技术响应评分中所涉及的事项需提供的所有资料。</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3、评审评分项中未涉及的事项，投标人认为需要提交的其他资料。</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4、磋商文件项目需求中要求提供的其他材料。</w:t>
      </w:r>
    </w:p>
    <w:p>
      <w:pPr>
        <w:widowControl/>
        <w:snapToGrid w:val="0"/>
        <w:spacing w:line="360" w:lineRule="auto"/>
        <w:ind w:firstLine="470" w:firstLineChars="196"/>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注：为方便评委评审，请投标供应商按评审评分项中所涉及的事项顺序进行编制，可以补充相关材料。</w:t>
      </w: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特别提醒：“资格审查文件”所须提供的材料（须加盖投标供应商公章）按招标文件要求装订，密封，递交。</w:t>
      </w:r>
    </w:p>
    <w:p>
      <w:pPr>
        <w:widowControl/>
        <w:snapToGrid w:val="0"/>
        <w:spacing w:line="360" w:lineRule="auto"/>
        <w:ind w:firstLine="472" w:firstLineChars="196"/>
        <w:jc w:val="left"/>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三、商务报价响应文件（单独密封）</w:t>
      </w:r>
    </w:p>
    <w:p>
      <w:pPr>
        <w:widowControl/>
        <w:snapToGrid w:val="0"/>
        <w:spacing w:line="360" w:lineRule="auto"/>
        <w:ind w:firstLine="470" w:firstLineChars="196"/>
        <w:jc w:val="left"/>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1</w:t>
      </w:r>
      <w:r>
        <w:rPr>
          <w:rFonts w:hint="eastAsia" w:cs="宋体"/>
          <w:color w:val="000000" w:themeColor="text1"/>
          <w:sz w:val="24"/>
          <w:szCs w:val="24"/>
          <w14:textFill>
            <w14:solidFill>
              <w14:schemeClr w14:val="tx1"/>
            </w14:solidFill>
          </w14:textFill>
        </w:rPr>
        <w:t>、磋商响应报价表（首次）。（</w:t>
      </w:r>
      <w:r>
        <w:rPr>
          <w:rFonts w:hint="eastAsia" w:ascii="宋体" w:hAnsi="宋体"/>
          <w:color w:val="000000" w:themeColor="text1"/>
          <w:sz w:val="24"/>
          <w:szCs w:val="24"/>
          <w14:textFill>
            <w14:solidFill>
              <w14:schemeClr w14:val="tx1"/>
            </w14:solidFill>
          </w14:textFill>
        </w:rPr>
        <w:t>格式见附件6</w:t>
      </w:r>
      <w:r>
        <w:rPr>
          <w:rFonts w:hint="eastAsia" w:cs="宋体"/>
          <w:color w:val="000000" w:themeColor="text1"/>
          <w:sz w:val="24"/>
          <w:szCs w:val="24"/>
          <w14:textFill>
            <w14:solidFill>
              <w14:schemeClr w14:val="tx1"/>
            </w14:solidFill>
          </w14:textFill>
        </w:rPr>
        <w:t>）</w:t>
      </w:r>
    </w:p>
    <w:p>
      <w:pPr>
        <w:widowControl/>
        <w:snapToGrid w:val="0"/>
        <w:spacing w:line="360" w:lineRule="auto"/>
        <w:ind w:firstLine="470" w:firstLineChars="196"/>
        <w:jc w:val="left"/>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2</w:t>
      </w:r>
      <w:r>
        <w:rPr>
          <w:rFonts w:hint="eastAsia" w:cs="宋体"/>
          <w:color w:val="000000" w:themeColor="text1"/>
          <w:sz w:val="24"/>
          <w:szCs w:val="24"/>
          <w14:textFill>
            <w14:solidFill>
              <w14:schemeClr w14:val="tx1"/>
            </w14:solidFill>
          </w14:textFill>
        </w:rPr>
        <w:t>、磋商响应报价明细表。（格式自拟）</w:t>
      </w: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widowControl/>
        <w:snapToGrid w:val="0"/>
        <w:spacing w:line="360" w:lineRule="auto"/>
        <w:jc w:val="left"/>
        <w:rPr>
          <w:rFonts w:asci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附件：</w:t>
      </w:r>
    </w:p>
    <w:p>
      <w:pPr>
        <w:snapToGrid w:val="0"/>
        <w:spacing w:beforeLines="100" w:line="420" w:lineRule="exact"/>
        <w:jc w:val="center"/>
        <w:outlineLvl w:val="4"/>
        <w:rPr>
          <w:rFonts w:ascii="宋体" w:hAnsi="宋体" w:cs="宋体"/>
          <w:b/>
          <w:bCs/>
          <w:sz w:val="28"/>
          <w:szCs w:val="28"/>
        </w:rPr>
      </w:pPr>
      <w:r>
        <w:rPr>
          <w:rFonts w:hint="eastAsia" w:ascii="宋体" w:hAnsi="宋体" w:cs="宋体"/>
          <w:b/>
          <w:bCs/>
          <w:sz w:val="28"/>
          <w:szCs w:val="28"/>
        </w:rPr>
        <w:t>1</w:t>
      </w:r>
      <w:r>
        <w:rPr>
          <w:rFonts w:ascii="宋体" w:hAnsi="宋体" w:cs="宋体"/>
          <w:b/>
          <w:bCs/>
          <w:sz w:val="28"/>
          <w:szCs w:val="28"/>
        </w:rPr>
        <w:t>、法定代表人身份证明</w:t>
      </w:r>
    </w:p>
    <w:p>
      <w:pPr>
        <w:snapToGrid w:val="0"/>
        <w:spacing w:beforeLines="100" w:afterLines="100" w:line="420" w:lineRule="exact"/>
        <w:rPr>
          <w:rFonts w:ascii="宋体" w:hAnsi="宋体" w:cs="宋体"/>
          <w:sz w:val="24"/>
          <w:szCs w:val="24"/>
        </w:rPr>
      </w:pPr>
      <w:bookmarkStart w:id="97" w:name="_Hlk49178957"/>
      <w:r>
        <w:rPr>
          <w:rFonts w:hint="eastAsia" w:ascii="宋体" w:hAnsi="宋体" w:cs="宋体"/>
          <w:sz w:val="24"/>
          <w:szCs w:val="24"/>
        </w:rPr>
        <w:t>江苏大生集团有限公司：</w:t>
      </w:r>
      <w:bookmarkEnd w:id="97"/>
    </w:p>
    <w:p>
      <w:pPr>
        <w:snapToGrid w:val="0"/>
        <w:spacing w:line="420" w:lineRule="exact"/>
        <w:ind w:firstLine="480" w:firstLineChars="200"/>
        <w:rPr>
          <w:rFonts w:ascii="宋体" w:hAnsi="宋体" w:cs="宋体"/>
          <w:sz w:val="24"/>
          <w:szCs w:val="24"/>
        </w:rPr>
      </w:pPr>
      <w:r>
        <w:rPr>
          <w:rFonts w:hint="eastAsia" w:ascii="宋体" w:hAnsi="宋体" w:cs="宋体"/>
          <w:sz w:val="24"/>
          <w:szCs w:val="24"/>
          <w:u w:val="single"/>
        </w:rPr>
        <w:t>　　　　　</w:t>
      </w:r>
      <w:r>
        <w:rPr>
          <w:rFonts w:hint="eastAsia" w:ascii="宋体" w:hAnsi="宋体" w:cs="宋体"/>
          <w:sz w:val="24"/>
          <w:szCs w:val="24"/>
        </w:rPr>
        <w:t>（先生／女士）现任我单位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pPr>
        <w:snapToGrid w:val="0"/>
        <w:spacing w:line="420" w:lineRule="exact"/>
        <w:ind w:firstLine="480" w:firstLineChars="200"/>
        <w:rPr>
          <w:rFonts w:ascii="宋体" w:hAnsi="宋体" w:cs="宋体"/>
          <w:sz w:val="24"/>
          <w:szCs w:val="24"/>
        </w:rPr>
      </w:pPr>
      <w:r>
        <w:rPr>
          <w:rFonts w:hint="eastAsia" w:ascii="宋体" w:hAnsi="宋体" w:cs="宋体"/>
          <w:sz w:val="24"/>
          <w:szCs w:val="24"/>
        </w:rPr>
        <w:t>身份证号码：</w:t>
      </w:r>
    </w:p>
    <w:p>
      <w:pPr>
        <w:snapToGrid w:val="0"/>
        <w:spacing w:line="420" w:lineRule="exact"/>
        <w:ind w:firstLine="480" w:firstLineChars="200"/>
        <w:rPr>
          <w:rFonts w:ascii="宋体" w:hAnsi="宋体" w:cs="宋体"/>
          <w:sz w:val="24"/>
          <w:szCs w:val="24"/>
        </w:rPr>
      </w:pPr>
    </w:p>
    <w:p>
      <w:pPr>
        <w:snapToGrid w:val="0"/>
        <w:spacing w:line="420" w:lineRule="exact"/>
        <w:ind w:firstLine="480" w:firstLineChars="200"/>
        <w:rPr>
          <w:rFonts w:ascii="宋体" w:hAnsi="宋体" w:cs="宋体"/>
          <w:sz w:val="24"/>
          <w:szCs w:val="24"/>
          <w:u w:val="single"/>
        </w:rPr>
      </w:pPr>
    </w:p>
    <w:p>
      <w:pPr>
        <w:snapToGrid w:val="0"/>
        <w:spacing w:line="420" w:lineRule="exact"/>
        <w:ind w:right="960" w:firstLine="484" w:firstLineChars="202"/>
        <w:jc w:val="center"/>
        <w:rPr>
          <w:rFonts w:ascii="宋体" w:hAnsi="宋体" w:cs="宋体"/>
          <w:sz w:val="24"/>
          <w:szCs w:val="24"/>
        </w:rPr>
      </w:pPr>
      <w:r>
        <w:rPr>
          <w:rFonts w:hint="eastAsia" w:ascii="宋体" w:hAnsi="宋体" w:cs="宋体"/>
          <w:sz w:val="24"/>
          <w:szCs w:val="24"/>
        </w:rPr>
        <w:t>供应商（盖章）</w:t>
      </w:r>
    </w:p>
    <w:p>
      <w:pPr>
        <w:snapToGrid w:val="0"/>
        <w:spacing w:line="420" w:lineRule="exact"/>
        <w:ind w:right="960" w:firstLine="484" w:firstLineChars="202"/>
        <w:jc w:val="center"/>
        <w:rPr>
          <w:rFonts w:ascii="宋体" w:hAnsi="宋体" w:cs="宋体"/>
          <w:sz w:val="24"/>
          <w:szCs w:val="24"/>
        </w:rPr>
      </w:pPr>
      <w:r>
        <w:rPr>
          <w:rFonts w:hint="eastAsia" w:ascii="宋体" w:hAnsi="宋体" w:cs="宋体"/>
          <w:sz w:val="24"/>
          <w:szCs w:val="24"/>
        </w:rPr>
        <w:t>年  月  日</w:t>
      </w:r>
    </w:p>
    <w:p>
      <w:pPr>
        <w:snapToGrid w:val="0"/>
        <w:spacing w:line="420" w:lineRule="exact"/>
        <w:ind w:firstLine="484" w:firstLineChars="202"/>
        <w:jc w:val="left"/>
        <w:rPr>
          <w:rFonts w:ascii="宋体" w:hAnsi="宋体" w:cs="宋体"/>
          <w:sz w:val="24"/>
          <w:szCs w:val="24"/>
        </w:rPr>
      </w:pPr>
    </w:p>
    <w:tbl>
      <w:tblPr>
        <w:tblStyle w:val="53"/>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pPr>
              <w:snapToGrid w:val="0"/>
              <w:spacing w:line="420" w:lineRule="exact"/>
              <w:ind w:firstLine="484" w:firstLineChars="202"/>
              <w:jc w:val="left"/>
              <w:rPr>
                <w:rFonts w:ascii="宋体" w:hAnsi="宋体" w:cs="宋体"/>
                <w:sz w:val="24"/>
                <w:szCs w:val="24"/>
              </w:rPr>
            </w:pPr>
          </w:p>
          <w:p>
            <w:pPr>
              <w:snapToGrid w:val="0"/>
              <w:spacing w:line="420" w:lineRule="exact"/>
              <w:ind w:firstLine="484" w:firstLineChars="202"/>
              <w:jc w:val="left"/>
              <w:rPr>
                <w:rFonts w:ascii="宋体" w:hAnsi="宋体" w:cs="宋体"/>
                <w:sz w:val="24"/>
                <w:szCs w:val="24"/>
              </w:rPr>
            </w:pPr>
          </w:p>
          <w:p>
            <w:pPr>
              <w:snapToGrid w:val="0"/>
              <w:spacing w:line="420" w:lineRule="exact"/>
              <w:jc w:val="center"/>
              <w:rPr>
                <w:rFonts w:ascii="宋体" w:hAnsi="宋体" w:cs="宋体"/>
                <w:b/>
                <w:bCs/>
                <w:sz w:val="24"/>
                <w:szCs w:val="24"/>
              </w:rPr>
            </w:pPr>
            <w:r>
              <w:rPr>
                <w:rFonts w:hint="eastAsia" w:ascii="宋体" w:hAnsi="宋体" w:cs="宋体"/>
                <w:b/>
                <w:bCs/>
                <w:sz w:val="24"/>
                <w:szCs w:val="24"/>
              </w:rPr>
              <w:t>法定代表人身份证（正、反面）复印件或扫描件</w:t>
            </w: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sz w:val="24"/>
                <w:szCs w:val="24"/>
              </w:rPr>
            </w:pPr>
          </w:p>
        </w:tc>
      </w:tr>
    </w:tbl>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ind w:firstLine="480" w:firstLineChars="200"/>
        <w:jc w:val="left"/>
        <w:rPr>
          <w:rFonts w:ascii="宋体" w:hAnsi="宋体" w:cs="宋体"/>
          <w:sz w:val="24"/>
          <w:szCs w:val="24"/>
        </w:rPr>
      </w:pPr>
      <w:r>
        <w:rPr>
          <w:rFonts w:hint="eastAsia" w:ascii="宋体" w:hAnsi="宋体" w:cs="宋体"/>
          <w:sz w:val="24"/>
          <w:szCs w:val="24"/>
        </w:rPr>
        <w:t>注：</w:t>
      </w:r>
    </w:p>
    <w:p>
      <w:pPr>
        <w:snapToGrid w:val="0"/>
        <w:spacing w:line="420" w:lineRule="exact"/>
        <w:ind w:firstLine="480" w:firstLineChars="200"/>
        <w:jc w:val="left"/>
        <w:rPr>
          <w:rFonts w:ascii="宋体" w:hAnsi="宋体" w:cs="宋体"/>
          <w:sz w:val="24"/>
          <w:szCs w:val="24"/>
        </w:rPr>
      </w:pPr>
      <w:r>
        <w:rPr>
          <w:rFonts w:hint="eastAsia" w:ascii="宋体" w:hAnsi="宋体" w:cs="宋体"/>
          <w:sz w:val="24"/>
          <w:szCs w:val="24"/>
        </w:rPr>
        <w:t>如为法定代表人参加项目竞争性磋商响应，须将身份证原件带至竞争性磋商现场备查。</w:t>
      </w:r>
    </w:p>
    <w:p>
      <w:pPr>
        <w:snapToGrid w:val="0"/>
        <w:spacing w:line="420" w:lineRule="exact"/>
        <w:jc w:val="left"/>
        <w:rPr>
          <w:rFonts w:ascii="宋体" w:hAnsi="宋体" w:cs="宋体"/>
          <w:sz w:val="24"/>
          <w:szCs w:val="24"/>
        </w:rPr>
      </w:pPr>
      <w:r>
        <w:rPr>
          <w:rFonts w:hint="eastAsia" w:ascii="宋体" w:hAnsi="宋体" w:cs="宋体"/>
          <w:sz w:val="24"/>
          <w:szCs w:val="24"/>
        </w:rPr>
        <w:t xml:space="preserve">    如为被委托受权人参加项目竞争性磋商响应，无须将法定代表人身份证原件带至竞争性磋商现场备查，仅需提供本证明。</w:t>
      </w: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napToGrid w:val="0"/>
        <w:spacing w:line="420" w:lineRule="exact"/>
        <w:jc w:val="center"/>
        <w:outlineLvl w:val="4"/>
        <w:rPr>
          <w:rFonts w:ascii="宋体" w:hAnsi="宋体" w:cs="宋体"/>
          <w:b/>
          <w:bCs/>
          <w:sz w:val="28"/>
          <w:szCs w:val="28"/>
        </w:rPr>
      </w:pPr>
      <w:r>
        <w:rPr>
          <w:rFonts w:hint="eastAsia" w:ascii="宋体" w:hAnsi="宋体" w:cs="宋体"/>
          <w:b/>
          <w:bCs/>
          <w:sz w:val="28"/>
          <w:szCs w:val="28"/>
        </w:rPr>
        <w:t>2</w:t>
      </w:r>
      <w:r>
        <w:rPr>
          <w:rFonts w:ascii="宋体" w:hAnsi="宋体" w:cs="宋体"/>
          <w:b/>
          <w:bCs/>
          <w:sz w:val="28"/>
          <w:szCs w:val="28"/>
        </w:rPr>
        <w:t>、法定代表人授权委托书（如有授权，须提供）</w:t>
      </w:r>
    </w:p>
    <w:p>
      <w:pPr>
        <w:snapToGrid w:val="0"/>
        <w:spacing w:beforeLines="100" w:afterLines="100" w:line="420" w:lineRule="exact"/>
        <w:rPr>
          <w:rFonts w:ascii="宋体" w:hAnsi="宋体" w:cs="宋体"/>
          <w:sz w:val="24"/>
          <w:szCs w:val="24"/>
        </w:rPr>
      </w:pPr>
      <w:r>
        <w:rPr>
          <w:rFonts w:hint="eastAsia" w:ascii="宋体" w:hAnsi="宋体" w:cs="宋体"/>
          <w:sz w:val="24"/>
          <w:szCs w:val="24"/>
        </w:rPr>
        <w:t>江苏大生集团有限公司：</w:t>
      </w:r>
    </w:p>
    <w:p>
      <w:pPr>
        <w:snapToGrid w:val="0"/>
        <w:spacing w:line="360" w:lineRule="auto"/>
        <w:ind w:firstLine="484" w:firstLineChars="202"/>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w:t>
      </w:r>
      <w:r>
        <w:rPr>
          <w:rFonts w:hint="eastAsia" w:ascii="宋体" w:hAnsi="宋体" w:cs="宋体"/>
          <w:sz w:val="24"/>
          <w:szCs w:val="24"/>
          <w:u w:val="single"/>
        </w:rPr>
        <w:t>　　</w:t>
      </w:r>
      <w:r>
        <w:rPr>
          <w:rFonts w:hint="eastAsia" w:ascii="宋体" w:hAnsi="宋体" w:cs="宋体"/>
          <w:sz w:val="24"/>
          <w:szCs w:val="24"/>
        </w:rPr>
        <w:t>（姓名）为我公司为被委托受权人，以本公司的名义参加本项目的竞争性磋商响应活动。被委托受权人在开标、评审谈判活动、合同谈判过程中所签署的一切文件和处理与之有关的一切事务，我均予以承认。</w:t>
      </w:r>
    </w:p>
    <w:p>
      <w:pPr>
        <w:snapToGrid w:val="0"/>
        <w:spacing w:line="360" w:lineRule="auto"/>
        <w:ind w:firstLine="484" w:firstLineChars="202"/>
        <w:rPr>
          <w:rFonts w:ascii="宋体" w:hAnsi="宋体" w:cs="宋体"/>
          <w:sz w:val="24"/>
          <w:szCs w:val="24"/>
        </w:rPr>
      </w:pPr>
      <w:r>
        <w:rPr>
          <w:rFonts w:hint="eastAsia" w:ascii="宋体" w:hAnsi="宋体" w:cs="宋体"/>
          <w:sz w:val="24"/>
          <w:szCs w:val="24"/>
        </w:rPr>
        <w:t>被委托受权人无转委权。特此委托。</w:t>
      </w:r>
    </w:p>
    <w:p>
      <w:pPr>
        <w:snapToGrid w:val="0"/>
        <w:spacing w:line="360" w:lineRule="auto"/>
        <w:ind w:firstLine="972" w:firstLineChars="405"/>
        <w:rPr>
          <w:rFonts w:ascii="宋体" w:hAnsi="宋体" w:cs="宋体"/>
          <w:sz w:val="24"/>
          <w:szCs w:val="24"/>
        </w:rPr>
      </w:pPr>
      <w:r>
        <w:rPr>
          <w:rFonts w:hint="eastAsia" w:ascii="宋体" w:hAnsi="宋体" w:cs="宋体"/>
          <w:sz w:val="24"/>
          <w:szCs w:val="24"/>
        </w:rPr>
        <w:t>法定代表人签字：</w:t>
      </w:r>
    </w:p>
    <w:p>
      <w:pPr>
        <w:snapToGrid w:val="0"/>
        <w:spacing w:line="360" w:lineRule="auto"/>
        <w:ind w:firstLine="972" w:firstLineChars="405"/>
        <w:rPr>
          <w:rFonts w:ascii="宋体" w:hAnsi="宋体" w:cs="宋体"/>
          <w:sz w:val="24"/>
          <w:szCs w:val="24"/>
        </w:rPr>
      </w:pPr>
      <w:r>
        <w:rPr>
          <w:rFonts w:hint="eastAsia" w:ascii="宋体" w:hAnsi="宋体" w:cs="宋体"/>
          <w:sz w:val="24"/>
          <w:szCs w:val="24"/>
        </w:rPr>
        <w:t>被委托受权人身份证号：</w:t>
      </w:r>
    </w:p>
    <w:p>
      <w:pPr>
        <w:snapToGrid w:val="0"/>
        <w:spacing w:line="360" w:lineRule="auto"/>
        <w:ind w:firstLine="972" w:firstLineChars="405"/>
        <w:rPr>
          <w:rFonts w:ascii="宋体" w:hAnsi="宋体" w:cs="宋体"/>
          <w:sz w:val="24"/>
          <w:szCs w:val="24"/>
        </w:rPr>
      </w:pPr>
      <w:r>
        <w:rPr>
          <w:rFonts w:hint="eastAsia" w:ascii="宋体" w:hAnsi="宋体" w:cs="宋体"/>
          <w:sz w:val="24"/>
          <w:szCs w:val="24"/>
        </w:rPr>
        <w:t>被委托受权人签字：</w:t>
      </w:r>
    </w:p>
    <w:p>
      <w:pPr>
        <w:snapToGrid w:val="0"/>
        <w:spacing w:line="360" w:lineRule="auto"/>
        <w:ind w:firstLine="484" w:firstLineChars="202"/>
        <w:jc w:val="right"/>
        <w:rPr>
          <w:rFonts w:ascii="宋体" w:hAnsi="宋体" w:cs="宋体"/>
          <w:sz w:val="24"/>
          <w:szCs w:val="24"/>
        </w:rPr>
      </w:pPr>
      <w:r>
        <w:rPr>
          <w:rFonts w:hint="eastAsia" w:ascii="宋体" w:hAnsi="宋体" w:cs="宋体"/>
          <w:sz w:val="24"/>
          <w:szCs w:val="24"/>
        </w:rPr>
        <w:t>供应商（盖章）</w:t>
      </w:r>
    </w:p>
    <w:p>
      <w:pPr>
        <w:snapToGrid w:val="0"/>
        <w:spacing w:line="360" w:lineRule="auto"/>
        <w:ind w:firstLine="484" w:firstLineChars="202"/>
        <w:jc w:val="right"/>
        <w:rPr>
          <w:rFonts w:ascii="宋体" w:hAnsi="宋体" w:cs="宋体"/>
          <w:sz w:val="24"/>
          <w:szCs w:val="24"/>
        </w:rPr>
      </w:pPr>
      <w:r>
        <w:rPr>
          <w:rFonts w:hint="eastAsia" w:ascii="宋体" w:hAnsi="宋体" w:cs="宋体"/>
          <w:sz w:val="24"/>
          <w:szCs w:val="24"/>
        </w:rPr>
        <w:t>年月日</w:t>
      </w:r>
    </w:p>
    <w:p>
      <w:pPr>
        <w:snapToGrid w:val="0"/>
        <w:spacing w:line="420" w:lineRule="exact"/>
        <w:ind w:firstLine="484" w:firstLineChars="202"/>
        <w:jc w:val="left"/>
        <w:rPr>
          <w:rFonts w:ascii="宋体" w:hAnsi="宋体" w:cs="宋体"/>
          <w:sz w:val="24"/>
          <w:szCs w:val="24"/>
        </w:rPr>
      </w:pPr>
    </w:p>
    <w:p>
      <w:pPr>
        <w:snapToGrid w:val="0"/>
        <w:spacing w:line="420" w:lineRule="exact"/>
        <w:ind w:firstLine="484" w:firstLineChars="202"/>
        <w:jc w:val="left"/>
        <w:rPr>
          <w:rFonts w:ascii="宋体" w:hAnsi="宋体" w:cs="宋体"/>
          <w:sz w:val="24"/>
          <w:szCs w:val="24"/>
        </w:rPr>
      </w:pPr>
    </w:p>
    <w:tbl>
      <w:tblPr>
        <w:tblStyle w:val="53"/>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pPr>
              <w:snapToGrid w:val="0"/>
              <w:spacing w:line="420" w:lineRule="exact"/>
              <w:ind w:firstLine="484" w:firstLineChars="202"/>
              <w:jc w:val="left"/>
              <w:rPr>
                <w:rFonts w:ascii="宋体" w:hAnsi="宋体" w:cs="宋体"/>
                <w:sz w:val="24"/>
                <w:szCs w:val="24"/>
              </w:rPr>
            </w:pPr>
          </w:p>
          <w:p>
            <w:pPr>
              <w:snapToGrid w:val="0"/>
              <w:spacing w:line="420" w:lineRule="exact"/>
              <w:jc w:val="center"/>
              <w:rPr>
                <w:rFonts w:ascii="宋体" w:hAnsi="宋体" w:cs="宋体"/>
                <w:b/>
                <w:bCs/>
                <w:sz w:val="24"/>
                <w:szCs w:val="24"/>
              </w:rPr>
            </w:pPr>
            <w:r>
              <w:rPr>
                <w:rFonts w:hint="eastAsia" w:ascii="宋体" w:hAnsi="宋体" w:cs="宋体"/>
                <w:b/>
                <w:bCs/>
                <w:sz w:val="24"/>
                <w:szCs w:val="24"/>
              </w:rPr>
              <w:t>被委托受权人身份证（正、反面）复印件或扫描件</w:t>
            </w: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b/>
                <w:bCs/>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tc>
      </w:tr>
    </w:tbl>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center"/>
        <w:rPr>
          <w:rFonts w:ascii="宋体" w:hAnsi="宋体" w:cs="宋体"/>
          <w:sz w:val="24"/>
          <w:szCs w:val="24"/>
        </w:rPr>
      </w:pPr>
    </w:p>
    <w:p>
      <w:pPr>
        <w:snapToGrid w:val="0"/>
        <w:spacing w:line="420" w:lineRule="exact"/>
        <w:jc w:val="left"/>
        <w:rPr>
          <w:rFonts w:ascii="宋体" w:hAnsi="宋体" w:cs="宋体"/>
          <w:sz w:val="24"/>
          <w:szCs w:val="24"/>
        </w:rPr>
      </w:pPr>
      <w:r>
        <w:rPr>
          <w:rFonts w:hint="eastAsia" w:ascii="宋体" w:hAnsi="宋体" w:cs="宋体"/>
          <w:sz w:val="24"/>
          <w:szCs w:val="24"/>
        </w:rPr>
        <w:t>注：如为被委托受权人参加项目竞争性磋商响应，须将身份证原件带至竞争性磋商现场备查。</w:t>
      </w: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snapToGrid w:val="0"/>
        <w:spacing w:line="420" w:lineRule="exact"/>
        <w:jc w:val="left"/>
        <w:rPr>
          <w:rFonts w:ascii="宋体" w:hAnsi="宋体" w:cs="宋体"/>
          <w:sz w:val="24"/>
          <w:szCs w:val="24"/>
        </w:rPr>
      </w:pPr>
    </w:p>
    <w:p>
      <w:pPr>
        <w:widowControl/>
        <w:jc w:val="left"/>
        <w:rPr>
          <w:rFonts w:ascii="宋体" w:hAnsi="宋体" w:cs="宋体"/>
          <w:b/>
          <w:bCs/>
          <w:sz w:val="24"/>
          <w:szCs w:val="24"/>
        </w:rPr>
      </w:pPr>
      <w:r>
        <w:rPr>
          <w:rFonts w:ascii="宋体" w:hAnsi="宋体" w:cs="宋体"/>
          <w:b/>
          <w:bCs/>
          <w:sz w:val="24"/>
          <w:szCs w:val="24"/>
        </w:rPr>
        <w:br w:type="page"/>
      </w:r>
    </w:p>
    <w:p>
      <w:pPr>
        <w:snapToGrid w:val="0"/>
        <w:spacing w:line="420" w:lineRule="exact"/>
        <w:jc w:val="center"/>
        <w:outlineLvl w:val="4"/>
        <w:rPr>
          <w:rFonts w:ascii="宋体" w:hAnsi="宋体" w:cs="宋体"/>
          <w:b/>
          <w:bCs/>
          <w:sz w:val="28"/>
          <w:szCs w:val="28"/>
        </w:rPr>
      </w:pPr>
      <w:r>
        <w:rPr>
          <w:rFonts w:hint="eastAsia" w:ascii="宋体" w:hAnsi="宋体" w:cs="宋体"/>
          <w:b/>
          <w:bCs/>
          <w:sz w:val="28"/>
          <w:szCs w:val="28"/>
        </w:rPr>
        <w:t>3、供应商符合《政府采购法》第二十二条规定条件的声明函</w:t>
      </w:r>
    </w:p>
    <w:p>
      <w:pPr>
        <w:spacing w:line="460" w:lineRule="exact"/>
        <w:rPr>
          <w:rFonts w:ascii="宋体" w:hAnsi="宋体"/>
          <w:b/>
          <w:bCs/>
          <w:color w:val="FF0000"/>
          <w:sz w:val="44"/>
          <w:szCs w:val="44"/>
        </w:rPr>
      </w:pPr>
    </w:p>
    <w:p>
      <w:pPr>
        <w:spacing w:line="520" w:lineRule="exact"/>
        <w:ind w:firstLine="480" w:firstLineChars="200"/>
        <w:rPr>
          <w:rFonts w:ascii="宋体" w:hAnsi="宋体"/>
          <w:b/>
          <w:bCs/>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我单位参加</w:t>
      </w:r>
      <w:r>
        <w:rPr>
          <w:rFonts w:hint="eastAsia" w:ascii="宋体" w:hAnsi="宋体"/>
          <w:bCs/>
          <w:color w:val="000000" w:themeColor="text1"/>
          <w:sz w:val="24"/>
          <w:u w:val="single"/>
          <w14:textFill>
            <w14:solidFill>
              <w14:schemeClr w14:val="tx1"/>
            </w14:solidFill>
          </w14:textFill>
        </w:rPr>
        <w:t>________________ _</w:t>
      </w:r>
      <w:r>
        <w:rPr>
          <w:rFonts w:hint="eastAsia" w:ascii="宋体" w:hAnsi="宋体"/>
          <w:bCs/>
          <w:color w:val="000000" w:themeColor="text1"/>
          <w:sz w:val="24"/>
          <w14:textFill>
            <w14:solidFill>
              <w14:schemeClr w14:val="tx1"/>
            </w14:solidFill>
          </w14:textFill>
        </w:rPr>
        <w:t>（项目名称），</w:t>
      </w:r>
      <w:r>
        <w:rPr>
          <w:rFonts w:hint="eastAsia" w:ascii="宋体" w:hAnsi="宋体"/>
          <w:bCs/>
          <w:color w:val="000000" w:themeColor="text1"/>
          <w:sz w:val="24"/>
          <w:u w:val="single"/>
          <w14:textFill>
            <w14:solidFill>
              <w14:schemeClr w14:val="tx1"/>
            </w14:solidFill>
          </w14:textFill>
        </w:rPr>
        <w:t>_______ __________</w:t>
      </w:r>
      <w:r>
        <w:rPr>
          <w:rFonts w:hint="eastAsia" w:ascii="宋体" w:hAnsi="宋体"/>
          <w:bCs/>
          <w:color w:val="000000" w:themeColor="text1"/>
          <w:sz w:val="24"/>
          <w14:textFill>
            <w14:solidFill>
              <w14:schemeClr w14:val="tx1"/>
            </w14:solidFill>
          </w14:textFill>
        </w:rPr>
        <w:t>（项目编号）投标活动。针对《中华人民共和国政府采购法》第二十二条规定做出如下声明：</w:t>
      </w:r>
    </w:p>
    <w:p>
      <w:pPr>
        <w:spacing w:line="520" w:lineRule="exact"/>
        <w:ind w:firstLine="482"/>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1.我单位具有独立承担民事责任的能力；</w:t>
      </w:r>
    </w:p>
    <w:p>
      <w:pPr>
        <w:spacing w:line="520" w:lineRule="exact"/>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2.我单位具有良好的商业信誉和健全的财务会计制度；</w:t>
      </w:r>
    </w:p>
    <w:p>
      <w:pPr>
        <w:spacing w:line="520" w:lineRule="exact"/>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3.我单位具有履行合同所必需的设备和专业技术能力；</w:t>
      </w:r>
    </w:p>
    <w:p>
      <w:pPr>
        <w:spacing w:line="520" w:lineRule="exact"/>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4.我单位有依法缴纳税收和社会保障资金的良好记录；</w:t>
      </w:r>
    </w:p>
    <w:p>
      <w:pPr>
        <w:spacing w:line="520" w:lineRule="exact"/>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单位参加采购活动前三年内，在经营活动中没有重大违法记录；（1.供应商在参加采购活动前三年内因违法经营被禁止在一定期限内参加采购活动，期限届满的，可以参加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pacing w:line="520" w:lineRule="exact"/>
        <w:ind w:firstLine="4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6.我单位满足法律、行政法规规定的其他条件。</w:t>
      </w:r>
    </w:p>
    <w:p>
      <w:pPr>
        <w:spacing w:line="500" w:lineRule="exact"/>
        <w:ind w:firstLine="482"/>
        <w:rPr>
          <w:rFonts w:ascii="宋体" w:hAnsi="宋体"/>
          <w:color w:val="000000" w:themeColor="text1"/>
          <w:sz w:val="24"/>
          <w14:textFill>
            <w14:solidFill>
              <w14:schemeClr w14:val="tx1"/>
            </w14:solidFill>
          </w14:textFill>
        </w:rPr>
      </w:pPr>
    </w:p>
    <w:p>
      <w:pPr>
        <w:spacing w:line="500" w:lineRule="exact"/>
        <w:rPr>
          <w:rFonts w:ascii="宋体" w:hAnsi="宋体"/>
          <w:color w:val="000000" w:themeColor="text1"/>
          <w:sz w:val="24"/>
          <w14:textFill>
            <w14:solidFill>
              <w14:schemeClr w14:val="tx1"/>
            </w14:solidFill>
          </w14:textFill>
        </w:rPr>
      </w:pPr>
    </w:p>
    <w:p>
      <w:pPr>
        <w:spacing w:line="500" w:lineRule="exact"/>
        <w:rPr>
          <w:rFonts w:ascii="宋体" w:hAnsi="宋体"/>
          <w:bCs/>
          <w:color w:val="000000" w:themeColor="text1"/>
          <w:sz w:val="24"/>
          <w14:textFill>
            <w14:solidFill>
              <w14:schemeClr w14:val="tx1"/>
            </w14:solidFill>
          </w14:textFill>
        </w:rPr>
      </w:pPr>
    </w:p>
    <w:p>
      <w:pPr>
        <w:spacing w:line="500" w:lineRule="exact"/>
        <w:rPr>
          <w:rFonts w:ascii="宋体" w:hAnsi="宋体"/>
          <w:bCs/>
          <w:color w:val="000000" w:themeColor="text1"/>
          <w:sz w:val="24"/>
          <w14:textFill>
            <w14:solidFill>
              <w14:schemeClr w14:val="tx1"/>
            </w14:solidFill>
          </w14:textFill>
        </w:rPr>
      </w:pPr>
    </w:p>
    <w:p>
      <w:pPr>
        <w:spacing w:line="500" w:lineRule="exact"/>
        <w:rPr>
          <w:rFonts w:ascii="宋体" w:hAnsi="宋体"/>
          <w:bCs/>
          <w:color w:val="000000" w:themeColor="text1"/>
          <w:sz w:val="24"/>
          <w14:textFill>
            <w14:solidFill>
              <w14:schemeClr w14:val="tx1"/>
            </w14:solidFill>
          </w14:textFill>
        </w:rPr>
      </w:pPr>
    </w:p>
    <w:p>
      <w:pPr>
        <w:spacing w:line="460" w:lineRule="exact"/>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承诺人名称（公章）：</w:t>
      </w:r>
    </w:p>
    <w:p>
      <w:pPr>
        <w:spacing w:line="460" w:lineRule="exact"/>
        <w:jc w:val="right"/>
        <w:rPr>
          <w:rFonts w:ascii="宋体" w:hAnsi="宋体"/>
          <w:bCs/>
          <w:color w:val="000000" w:themeColor="text1"/>
          <w:sz w:val="24"/>
          <w14:textFill>
            <w14:solidFill>
              <w14:schemeClr w14:val="tx1"/>
            </w14:solidFill>
          </w14:textFill>
        </w:rPr>
      </w:pPr>
    </w:p>
    <w:p>
      <w:pPr>
        <w:spacing w:line="460" w:lineRule="exact"/>
        <w:jc w:val="righ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日期：______年   月   日</w:t>
      </w:r>
    </w:p>
    <w:p>
      <w:pPr>
        <w:snapToGrid w:val="0"/>
        <w:spacing w:line="400" w:lineRule="exact"/>
        <w:ind w:firstLine="540" w:firstLineChars="192"/>
        <w:rPr>
          <w:rFonts w:ascii="宋体" w:hAnsi="宋体" w:cs="宋体"/>
          <w:b/>
          <w:color w:val="000000" w:themeColor="text1"/>
          <w:kern w:val="0"/>
          <w:sz w:val="28"/>
          <w:szCs w:val="28"/>
          <w14:textFill>
            <w14:solidFill>
              <w14:schemeClr w14:val="tx1"/>
            </w14:solidFill>
          </w14:textFill>
        </w:rPr>
      </w:pPr>
    </w:p>
    <w:p>
      <w:pPr>
        <w:snapToGrid w:val="0"/>
        <w:spacing w:line="400" w:lineRule="exact"/>
        <w:ind w:firstLine="540" w:firstLineChars="192"/>
        <w:rPr>
          <w:rFonts w:ascii="宋体" w:hAnsi="宋体" w:cs="宋体"/>
          <w:b/>
          <w:color w:val="000000" w:themeColor="text1"/>
          <w:kern w:val="0"/>
          <w:sz w:val="28"/>
          <w:szCs w:val="28"/>
          <w:lang w:val="zh-CN"/>
          <w14:textFill>
            <w14:solidFill>
              <w14:schemeClr w14:val="tx1"/>
            </w14:solidFill>
          </w14:textFill>
        </w:rPr>
      </w:pPr>
    </w:p>
    <w:p>
      <w:pPr>
        <w:spacing w:line="420" w:lineRule="exact"/>
        <w:jc w:val="left"/>
        <w:rPr>
          <w:rFonts w:ascii="宋体" w:hAnsi="宋体" w:cs="宋体"/>
          <w:color w:val="000000" w:themeColor="text1"/>
          <w:sz w:val="24"/>
          <w:szCs w:val="24"/>
          <w14:textFill>
            <w14:solidFill>
              <w14:schemeClr w14:val="tx1"/>
            </w14:solidFill>
          </w14:textFill>
        </w:rPr>
      </w:pPr>
    </w:p>
    <w:p>
      <w:pPr>
        <w:spacing w:line="420" w:lineRule="exact"/>
        <w:jc w:val="left"/>
        <w:rPr>
          <w:rFonts w:ascii="宋体" w:hAnsi="宋体" w:cs="宋体"/>
          <w:color w:val="000000" w:themeColor="text1"/>
          <w:sz w:val="24"/>
          <w:szCs w:val="24"/>
          <w14:textFill>
            <w14:solidFill>
              <w14:schemeClr w14:val="tx1"/>
            </w14:solidFill>
          </w14:textFill>
        </w:rPr>
      </w:pPr>
    </w:p>
    <w:p>
      <w:pPr>
        <w:spacing w:line="420" w:lineRule="exact"/>
        <w:jc w:val="left"/>
        <w:rPr>
          <w:rFonts w:ascii="宋体" w:hAnsi="宋体" w:cs="宋体"/>
          <w:color w:val="000000" w:themeColor="text1"/>
          <w:sz w:val="24"/>
          <w:szCs w:val="24"/>
          <w14:textFill>
            <w14:solidFill>
              <w14:schemeClr w14:val="tx1"/>
            </w14:solidFill>
          </w14:textFill>
        </w:rPr>
      </w:pPr>
    </w:p>
    <w:p>
      <w:pPr>
        <w:spacing w:line="420" w:lineRule="exact"/>
        <w:jc w:val="left"/>
        <w:rPr>
          <w:rFonts w:ascii="宋体" w:hAnsi="宋体" w:cs="宋体"/>
          <w:color w:val="000000" w:themeColor="text1"/>
          <w:sz w:val="24"/>
          <w:szCs w:val="24"/>
          <w14:textFill>
            <w14:solidFill>
              <w14:schemeClr w14:val="tx1"/>
            </w14:solidFill>
          </w14:textFill>
        </w:rPr>
      </w:pPr>
    </w:p>
    <w:p>
      <w:pPr>
        <w:spacing w:line="420" w:lineRule="exact"/>
        <w:jc w:val="left"/>
        <w:rPr>
          <w:rFonts w:ascii="宋体" w:hAnsi="宋体" w:cs="宋体"/>
          <w:color w:val="000000" w:themeColor="text1"/>
          <w:sz w:val="24"/>
          <w:szCs w:val="24"/>
          <w14:textFill>
            <w14:solidFill>
              <w14:schemeClr w14:val="tx1"/>
            </w14:solidFill>
          </w14:textFill>
        </w:rPr>
      </w:pPr>
    </w:p>
    <w:p>
      <w:pPr>
        <w:snapToGrid w:val="0"/>
        <w:spacing w:line="420" w:lineRule="exact"/>
        <w:jc w:val="center"/>
        <w:outlineLvl w:val="4"/>
        <w:rPr>
          <w:rFonts w:ascii="宋体" w:hAnsi="宋体" w:cs="宋体"/>
          <w:b/>
          <w:bCs/>
          <w:sz w:val="28"/>
          <w:szCs w:val="28"/>
        </w:rPr>
      </w:pPr>
      <w:r>
        <w:rPr>
          <w:rFonts w:hint="eastAsia" w:ascii="宋体" w:hAnsi="宋体" w:cs="宋体"/>
          <w:b/>
          <w:bCs/>
          <w:sz w:val="28"/>
          <w:szCs w:val="28"/>
        </w:rPr>
        <w:t>4</w:t>
      </w:r>
      <w:r>
        <w:rPr>
          <w:rFonts w:ascii="宋体" w:hAnsi="宋体" w:cs="宋体"/>
          <w:b/>
          <w:bCs/>
          <w:sz w:val="28"/>
          <w:szCs w:val="28"/>
        </w:rPr>
        <w:t>、关于资格的声明函</w:t>
      </w:r>
    </w:p>
    <w:p>
      <w:pPr>
        <w:spacing w:line="360" w:lineRule="auto"/>
        <w:jc w:val="left"/>
        <w:rPr>
          <w:rFonts w:asciiTheme="minorEastAsia" w:hAnsiTheme="minorEastAsia" w:eastAsiaTheme="minorEastAsia" w:cstheme="minorEastAsia"/>
          <w:sz w:val="24"/>
          <w:szCs w:val="24"/>
        </w:rPr>
      </w:pPr>
      <w:r>
        <w:rPr>
          <w:rFonts w:hint="eastAsia" w:ascii="宋体" w:hAnsi="宋体" w:cs="宋体"/>
          <w:sz w:val="24"/>
          <w:szCs w:val="24"/>
        </w:rPr>
        <w:t>江苏大生集团有限公司</w:t>
      </w:r>
      <w:r>
        <w:rPr>
          <w:rFonts w:hint="eastAsia" w:asciiTheme="minorEastAsia" w:hAnsiTheme="minorEastAsia" w:eastAsiaTheme="minorEastAsia" w:cstheme="minorEastAsia"/>
          <w:sz w:val="24"/>
          <w:szCs w:val="24"/>
        </w:rPr>
        <w:t>：</w:t>
      </w: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本公司愿就由贵公司组织实施的</w:t>
      </w:r>
      <w:r>
        <w:rPr>
          <w:rFonts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的招标活动进行投标。本公司所提交的投标文件中所有关于投标资格的文件、证明和陈述均是真实的、准确的。若与真实情况不符，本公司愿意承担由此而产生的一切后果。</w:t>
      </w: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法定代表人或委托代理人（签字或盖章）：</w:t>
      </w: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spacing w:line="360" w:lineRule="auto"/>
        <w:ind w:firstLine="480" w:firstLineChars="200"/>
        <w:jc w:val="left"/>
        <w:rPr>
          <w:rFonts w:asciiTheme="minorEastAsia" w:hAnsiTheme="minorEastAsia" w:eastAsiaTheme="minorEastAsia" w:cstheme="minorEastAsia"/>
          <w:sz w:val="24"/>
          <w:szCs w:val="24"/>
        </w:rPr>
      </w:pPr>
    </w:p>
    <w:p>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asciiTheme="minorEastAsia" w:hAnsiTheme="minorEastAsia" w:eastAsiaTheme="minorEastAsia" w:cstheme="minorEastAsia"/>
          <w:sz w:val="24"/>
          <w:szCs w:val="24"/>
        </w:rPr>
        <w:tab/>
      </w:r>
      <w:r>
        <w:rPr>
          <w:rFonts w:asciiTheme="minorEastAsia" w:hAnsiTheme="minorEastAsia" w:eastAsiaTheme="minorEastAsia" w:cstheme="minorEastAsia"/>
          <w:sz w:val="24"/>
          <w:szCs w:val="24"/>
        </w:rPr>
        <w:t xml:space="preserve"> 月</w:t>
      </w:r>
      <w:r>
        <w:rPr>
          <w:rFonts w:hint="eastAsia" w:asciiTheme="minorEastAsia" w:hAnsiTheme="minorEastAsia" w:eastAsiaTheme="minorEastAsia" w:cstheme="minorEastAsia"/>
          <w:sz w:val="24"/>
          <w:szCs w:val="24"/>
        </w:rPr>
        <w:t xml:space="preserve">  日</w:t>
      </w:r>
    </w:p>
    <w:p>
      <w:pPr>
        <w:spacing w:line="360" w:lineRule="auto"/>
        <w:rPr>
          <w:rFonts w:ascii="宋体" w:hAnsi="宋体" w:cs="宋体"/>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pStyle w:val="2"/>
        <w:spacing w:before="312"/>
        <w:ind w:firstLine="480"/>
      </w:pPr>
    </w:p>
    <w:p>
      <w:pPr>
        <w:snapToGrid w:val="0"/>
        <w:spacing w:beforeLines="100" w:line="420" w:lineRule="exact"/>
        <w:jc w:val="center"/>
        <w:outlineLvl w:val="4"/>
        <w:rPr>
          <w:rFonts w:ascii="宋体" w:hAnsi="宋体" w:cs="宋体"/>
          <w:b/>
          <w:bCs/>
          <w:sz w:val="24"/>
          <w:szCs w:val="24"/>
        </w:rPr>
      </w:pPr>
    </w:p>
    <w:p>
      <w:pPr>
        <w:snapToGrid w:val="0"/>
        <w:spacing w:beforeLines="100" w:line="420" w:lineRule="exact"/>
        <w:jc w:val="center"/>
        <w:outlineLvl w:val="4"/>
        <w:rPr>
          <w:rFonts w:ascii="宋体" w:hAnsi="宋体" w:cs="宋体"/>
          <w:b/>
          <w:bCs/>
          <w:sz w:val="24"/>
          <w:szCs w:val="24"/>
        </w:rPr>
      </w:pPr>
    </w:p>
    <w:p>
      <w:pPr>
        <w:spacing w:line="420" w:lineRule="exact"/>
        <w:jc w:val="left"/>
        <w:rPr>
          <w:rFonts w:ascii="宋体" w:hAnsi="宋体" w:cs="宋体"/>
          <w:sz w:val="24"/>
          <w:szCs w:val="24"/>
        </w:rPr>
      </w:pPr>
    </w:p>
    <w:p>
      <w:pPr>
        <w:snapToGrid w:val="0"/>
        <w:spacing w:line="520" w:lineRule="exact"/>
        <w:ind w:firstLine="562" w:firstLineChars="200"/>
        <w:jc w:val="center"/>
        <w:rPr>
          <w:rFonts w:asci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5、竞争性磋商响应函（格式不得变动）</w:t>
      </w:r>
    </w:p>
    <w:p>
      <w:pPr>
        <w:snapToGrid w:val="0"/>
        <w:spacing w:line="520" w:lineRule="exact"/>
        <w:rPr>
          <w:rFonts w:asci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江苏大生集团有限公司：</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依据贵单位委托代理机构组织的</w:t>
      </w:r>
      <w:r>
        <w:rPr>
          <w:rFonts w:hint="eastAsia" w:ascii="宋体" w:hAnsi="宋体" w:cs="宋体"/>
          <w:color w:val="000000" w:themeColor="text1"/>
          <w:sz w:val="24"/>
          <w:szCs w:val="24"/>
          <w:u w:val="single"/>
          <w14:textFill>
            <w14:solidFill>
              <w14:schemeClr w14:val="tx1"/>
            </w14:solidFill>
          </w14:textFill>
        </w:rPr>
        <w:t>（磋商项目名称</w:t>
      </w:r>
      <w:r>
        <w:rPr>
          <w:rFonts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项目竞争性磋商的邀请，我方授权</w:t>
      </w:r>
      <w:r>
        <w:rPr>
          <w:rFonts w:hint="eastAsia" w:ascii="宋体" w:hAnsi="宋体" w:cs="宋体"/>
          <w:color w:val="000000" w:themeColor="text1"/>
          <w:sz w:val="24"/>
          <w:szCs w:val="24"/>
          <w:u w:val="single"/>
          <w14:textFill>
            <w14:solidFill>
              <w14:schemeClr w14:val="tx1"/>
            </w14:solidFill>
          </w14:textFill>
        </w:rPr>
        <w:t>（姓名）（职务）</w:t>
      </w:r>
      <w:r>
        <w:rPr>
          <w:rFonts w:hint="eastAsia" w:ascii="宋体" w:hAnsi="宋体" w:cs="宋体"/>
          <w:color w:val="000000" w:themeColor="text1"/>
          <w:sz w:val="24"/>
          <w:szCs w:val="24"/>
          <w14:textFill>
            <w14:solidFill>
              <w14:schemeClr w14:val="tx1"/>
            </w14:solidFill>
          </w14:textFill>
        </w:rPr>
        <w:t>为全权代表参加该项目的磋商工作，全权处理本次竞争性磋商的有关事宜。同时，我公司声明如下：</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、同意并接受竞争性磋商文件的各项要求，遵守竞争性磋商文件中的各项规定，按竞争性磋商文件的要求提供报价。</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、我公司已经详细阅读了竞争性磋商文件的全部内容，我方已完全清晰理解竞争性磋商文件的要求，不存在任何含糊不清和误解之处，同意放弃对竞争性磋商文件所表述的内容提出异议和质疑的权利。</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、我公司已毫无保留地向贵方提供一切所需的证明材料。</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、我公司承诺在本次磋商响应中提供的一切文件，无论是原件还是复印件均真实有效，绝无任何虚假、伪造和夸大的成份。否则，愿承担相应的后果和法律责任。</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、一旦成交，我方承诺无正当理由拒绝签订合同的，贵方有权取消我公司的成交资格。</w:t>
      </w:r>
    </w:p>
    <w:p>
      <w:pPr>
        <w:snapToGrid w:val="0"/>
        <w:spacing w:line="52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一旦成交，我方将根据竞争性磋商文件的规定，严格履行合同规定的责任和义务，并保证在竞争性磋商文件中规定的时间期限内完成合同项目。</w:t>
      </w:r>
    </w:p>
    <w:p>
      <w:pPr>
        <w:snapToGrid w:val="0"/>
        <w:spacing w:line="520" w:lineRule="exact"/>
        <w:ind w:firstLine="480" w:firstLineChars="200"/>
        <w:rPr>
          <w:rFonts w:ascii="宋体"/>
          <w:color w:val="000000" w:themeColor="text1"/>
          <w:sz w:val="24"/>
          <w:szCs w:val="24"/>
          <w14:textFill>
            <w14:solidFill>
              <w14:schemeClr w14:val="tx1"/>
            </w14:solidFill>
          </w14:textFill>
        </w:rPr>
      </w:pPr>
    </w:p>
    <w:p>
      <w:pPr>
        <w:pStyle w:val="2"/>
        <w:ind w:firstLine="480"/>
        <w:rPr>
          <w:color w:val="000000" w:themeColor="text1"/>
          <w14:textFill>
            <w14:solidFill>
              <w14:schemeClr w14:val="tx1"/>
            </w14:solidFill>
          </w14:textFill>
        </w:rPr>
      </w:pPr>
    </w:p>
    <w:p>
      <w:pPr>
        <w:snapToGrid w:val="0"/>
        <w:spacing w:line="520" w:lineRule="exact"/>
        <w:jc w:val="righ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竞争性磋商响应单位：（加盖公章）</w:t>
      </w:r>
    </w:p>
    <w:p>
      <w:pPr>
        <w:snapToGrid w:val="0"/>
        <w:spacing w:line="520" w:lineRule="exact"/>
        <w:ind w:firstLine="2400" w:firstLineChars="1000"/>
        <w:jc w:val="righ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法定代表人或被授权人：（签字或盖章）</w:t>
      </w:r>
    </w:p>
    <w:p>
      <w:pPr>
        <w:snapToGrid w:val="0"/>
        <w:spacing w:line="520" w:lineRule="exact"/>
        <w:jc w:val="right"/>
        <w:outlineLvl w:val="4"/>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年    月    日</w:t>
      </w: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pStyle w:val="2"/>
        <w:ind w:firstLine="480"/>
        <w:rPr>
          <w:color w:val="000000" w:themeColor="text1"/>
          <w14:textFill>
            <w14:solidFill>
              <w14:schemeClr w14:val="tx1"/>
            </w14:solidFill>
          </w14:textFill>
        </w:rPr>
      </w:pPr>
    </w:p>
    <w:p>
      <w:pPr>
        <w:pStyle w:val="206"/>
        <w:spacing w:line="560" w:lineRule="exact"/>
        <w:jc w:val="center"/>
        <w:rPr>
          <w:rFonts w:asciiTheme="minorEastAsia" w:hAnsiTheme="minorEastAsia" w:eastAsiaTheme="minorEastAsia"/>
          <w:b/>
          <w:bCs/>
          <w:sz w:val="24"/>
        </w:rPr>
      </w:pPr>
    </w:p>
    <w:p>
      <w:pPr>
        <w:pStyle w:val="206"/>
        <w:spacing w:line="560" w:lineRule="exact"/>
        <w:jc w:val="center"/>
        <w:rPr>
          <w:rFonts w:asciiTheme="minorEastAsia" w:hAnsiTheme="minorEastAsia" w:eastAsiaTheme="minorEastAsia"/>
          <w:b/>
          <w:bCs/>
          <w:sz w:val="24"/>
        </w:rPr>
      </w:pPr>
    </w:p>
    <w:p>
      <w:pPr>
        <w:snapToGrid w:val="0"/>
        <w:spacing w:line="520" w:lineRule="exact"/>
        <w:jc w:val="center"/>
        <w:outlineLvl w:val="3"/>
        <w:rPr>
          <w:rFonts w:ascii="宋体" w:hAnsi="宋体" w:cs="宋体"/>
          <w:b/>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6、</w:t>
      </w:r>
      <w:r>
        <w:rPr>
          <w:rFonts w:hint="eastAsia" w:ascii="宋体" w:hAnsi="宋体" w:cs="宋体"/>
          <w:b/>
          <w:color w:val="000000" w:themeColor="text1"/>
          <w:sz w:val="28"/>
          <w:szCs w:val="28"/>
          <w14:textFill>
            <w14:solidFill>
              <w14:schemeClr w14:val="tx1"/>
            </w14:solidFill>
          </w14:textFill>
        </w:rPr>
        <w:t>磋商响应报价表（首次）</w:t>
      </w:r>
    </w:p>
    <w:p>
      <w:pPr>
        <w:spacing w:line="480" w:lineRule="exact"/>
        <w:rPr>
          <w:rFonts w:hAnsi="宋体" w:cs="宋体"/>
          <w:b/>
          <w:bCs/>
          <w:color w:val="000000" w:themeColor="text1"/>
          <w:sz w:val="28"/>
          <w:szCs w:val="28"/>
          <w14:textFill>
            <w14:solidFill>
              <w14:schemeClr w14:val="tx1"/>
            </w14:solidFill>
          </w14:textFill>
        </w:rPr>
      </w:pPr>
    </w:p>
    <w:tbl>
      <w:tblPr>
        <w:tblStyle w:val="5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970" w:type="dxa"/>
            <w:vAlign w:val="center"/>
          </w:tcPr>
          <w:p>
            <w:pPr>
              <w:spacing w:line="480" w:lineRule="exact"/>
              <w:jc w:val="center"/>
              <w:rPr>
                <w:rFonts w:hAnsi="宋体" w:cs="宋体"/>
                <w:color w:val="000000" w:themeColor="text1"/>
                <w:sz w:val="24"/>
                <w:szCs w:val="20"/>
                <w14:textFill>
                  <w14:solidFill>
                    <w14:schemeClr w14:val="tx1"/>
                  </w14:solidFill>
                </w14:textFill>
              </w:rPr>
            </w:pPr>
            <w:r>
              <w:rPr>
                <w:rFonts w:hint="eastAsia" w:hAnsi="宋体" w:cs="宋体"/>
                <w:color w:val="000000" w:themeColor="text1"/>
                <w:sz w:val="24"/>
                <w:szCs w:val="20"/>
                <w14:textFill>
                  <w14:solidFill>
                    <w14:schemeClr w14:val="tx1"/>
                  </w14:solidFill>
                </w14:textFill>
              </w:rPr>
              <w:t>项目名称</w:t>
            </w:r>
          </w:p>
        </w:tc>
        <w:tc>
          <w:tcPr>
            <w:tcW w:w="7777" w:type="dxa"/>
            <w:vAlign w:val="center"/>
          </w:tcPr>
          <w:p>
            <w:pPr>
              <w:spacing w:line="480" w:lineRule="exact"/>
              <w:jc w:val="center"/>
              <w:rPr>
                <w:rFonts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70" w:type="dxa"/>
            <w:vAlign w:val="center"/>
          </w:tcPr>
          <w:p>
            <w:pPr>
              <w:spacing w:line="480" w:lineRule="exact"/>
              <w:jc w:val="center"/>
              <w:rPr>
                <w:rFonts w:hAnsi="宋体" w:cs="宋体"/>
                <w:color w:val="000000" w:themeColor="text1"/>
                <w:sz w:val="24"/>
                <w:szCs w:val="20"/>
                <w14:textFill>
                  <w14:solidFill>
                    <w14:schemeClr w14:val="tx1"/>
                  </w14:solidFill>
                </w14:textFill>
              </w:rPr>
            </w:pPr>
            <w:r>
              <w:rPr>
                <w:rFonts w:hint="eastAsia" w:hAnsi="宋体" w:cs="宋体"/>
                <w:color w:val="000000" w:themeColor="text1"/>
                <w:sz w:val="24"/>
                <w:szCs w:val="20"/>
                <w14:textFill>
                  <w14:solidFill>
                    <w14:schemeClr w14:val="tx1"/>
                  </w14:solidFill>
                </w14:textFill>
              </w:rPr>
              <w:t>磋商报价（首次）</w:t>
            </w:r>
          </w:p>
        </w:tc>
        <w:tc>
          <w:tcPr>
            <w:tcW w:w="7777" w:type="dxa"/>
            <w:vAlign w:val="center"/>
          </w:tcPr>
          <w:p>
            <w:pPr>
              <w:spacing w:line="480" w:lineRule="exact"/>
              <w:rPr>
                <w:rFonts w:hAnsi="宋体" w:cs="宋体"/>
                <w:color w:val="000000" w:themeColor="text1"/>
                <w:sz w:val="24"/>
                <w:szCs w:val="20"/>
                <w:u w:val="single"/>
                <w14:textFill>
                  <w14:solidFill>
                    <w14:schemeClr w14:val="tx1"/>
                  </w14:solidFill>
                </w14:textFill>
              </w:rPr>
            </w:pPr>
            <w:r>
              <w:rPr>
                <w:rFonts w:hAnsi="宋体" w:cs="宋体"/>
                <w:color w:val="000000" w:themeColor="text1"/>
                <w:sz w:val="24"/>
                <w:szCs w:val="20"/>
                <w14:textFill>
                  <w14:solidFill>
                    <w14:schemeClr w14:val="tx1"/>
                  </w14:solidFill>
                </w14:textFill>
              </w:rPr>
              <w:t>¥</w:t>
            </w:r>
            <w:r>
              <w:rPr>
                <w:rFonts w:hint="eastAsia" w:hAnsi="宋体" w:cs="宋体"/>
                <w:color w:val="000000" w:themeColor="text1"/>
                <w:sz w:val="24"/>
                <w:szCs w:val="20"/>
                <w14:textFill>
                  <w14:solidFill>
                    <w14:schemeClr w14:val="tx1"/>
                  </w14:solidFill>
                </w14:textFill>
              </w:rPr>
              <w:t xml:space="preserve">            元，人民币大写：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0" w:type="dxa"/>
            <w:vAlign w:val="center"/>
          </w:tcPr>
          <w:p>
            <w:pPr>
              <w:spacing w:line="480" w:lineRule="exact"/>
              <w:jc w:val="center"/>
              <w:rPr>
                <w:rFonts w:hAnsi="宋体" w:cs="宋体"/>
                <w:color w:val="000000" w:themeColor="text1"/>
                <w:sz w:val="24"/>
                <w:szCs w:val="20"/>
                <w14:textFill>
                  <w14:solidFill>
                    <w14:schemeClr w14:val="tx1"/>
                  </w14:solidFill>
                </w14:textFill>
              </w:rPr>
            </w:pPr>
            <w:r>
              <w:rPr>
                <w:rFonts w:hint="eastAsia" w:hAnsi="宋体" w:cs="宋体"/>
                <w:bCs/>
                <w:color w:val="000000" w:themeColor="text1"/>
                <w:sz w:val="24"/>
                <w:szCs w:val="20"/>
                <w14:textFill>
                  <w14:solidFill>
                    <w14:schemeClr w14:val="tx1"/>
                  </w14:solidFill>
                </w14:textFill>
              </w:rPr>
              <w:t>服务期</w:t>
            </w:r>
          </w:p>
        </w:tc>
        <w:tc>
          <w:tcPr>
            <w:tcW w:w="7777" w:type="dxa"/>
            <w:vAlign w:val="center"/>
          </w:tcPr>
          <w:p>
            <w:pPr>
              <w:spacing w:line="480" w:lineRule="exact"/>
              <w:rPr>
                <w:rFonts w:ascii="宋体" w:hAnsi="宋体" w:cs="宋体"/>
                <w:color w:val="000000" w:themeColor="text1"/>
                <w:kern w:val="0"/>
                <w:sz w:val="24"/>
                <w:szCs w:val="20"/>
                <w:lang w:val="zh-CN"/>
                <w14:textFill>
                  <w14:solidFill>
                    <w14:schemeClr w14:val="tx1"/>
                  </w14:solidFill>
                </w14:textFill>
              </w:rPr>
            </w:pPr>
          </w:p>
        </w:tc>
      </w:tr>
    </w:tbl>
    <w:p>
      <w:pPr>
        <w:spacing w:line="480" w:lineRule="exact"/>
        <w:ind w:firstLine="4800" w:firstLineChars="2000"/>
        <w:rPr>
          <w:rFonts w:hAnsi="宋体" w:cs="宋体"/>
          <w:color w:val="000000" w:themeColor="text1"/>
          <w:sz w:val="24"/>
          <w:szCs w:val="20"/>
          <w14:textFill>
            <w14:solidFill>
              <w14:schemeClr w14:val="tx1"/>
            </w14:solidFill>
          </w14:textFill>
        </w:rPr>
      </w:pPr>
    </w:p>
    <w:p>
      <w:pPr>
        <w:tabs>
          <w:tab w:val="left" w:pos="5665"/>
          <w:tab w:val="right" w:pos="8360"/>
        </w:tabs>
        <w:spacing w:line="360" w:lineRule="auto"/>
        <w:ind w:right="42"/>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竞争性磋商响应单位（公章)：</w:t>
      </w:r>
    </w:p>
    <w:p>
      <w:pPr>
        <w:spacing w:line="360" w:lineRule="auto"/>
        <w:rPr>
          <w:rFonts w:hAnsi="宋体" w:cs="宋体"/>
          <w:color w:val="000000" w:themeColor="text1"/>
          <w:sz w:val="24"/>
          <w:szCs w:val="20"/>
          <w:u w:val="single"/>
          <w14:textFill>
            <w14:solidFill>
              <w14:schemeClr w14:val="tx1"/>
            </w14:solidFill>
          </w14:textFill>
        </w:rPr>
      </w:pPr>
      <w:r>
        <w:rPr>
          <w:rFonts w:hint="eastAsia" w:hAnsi="宋体" w:cs="宋体"/>
          <w:color w:val="000000" w:themeColor="text1"/>
          <w:sz w:val="24"/>
          <w:szCs w:val="20"/>
          <w14:textFill>
            <w14:solidFill>
              <w14:schemeClr w14:val="tx1"/>
            </w14:solidFill>
          </w14:textFill>
        </w:rPr>
        <w:t>法定代表人或</w:t>
      </w:r>
      <w:r>
        <w:rPr>
          <w:rFonts w:hint="eastAsia" w:hAnsi="宋体" w:cs="仿宋_GB2312"/>
          <w:color w:val="000000" w:themeColor="text1"/>
          <w:sz w:val="24"/>
          <w:szCs w:val="20"/>
          <w14:textFill>
            <w14:solidFill>
              <w14:schemeClr w14:val="tx1"/>
            </w14:solidFill>
          </w14:textFill>
        </w:rPr>
        <w:t>被授权人（签字或盖章）</w:t>
      </w:r>
      <w:r>
        <w:rPr>
          <w:rFonts w:hint="eastAsia" w:hAnsi="宋体" w:cs="宋体"/>
          <w:color w:val="000000" w:themeColor="text1"/>
          <w:sz w:val="24"/>
          <w:szCs w:val="20"/>
          <w14:textFill>
            <w14:solidFill>
              <w14:schemeClr w14:val="tx1"/>
            </w14:solidFill>
          </w14:textFill>
        </w:rPr>
        <w:t>：</w:t>
      </w:r>
    </w:p>
    <w:p>
      <w:pPr>
        <w:spacing w:line="360" w:lineRule="auto"/>
        <w:rPr>
          <w:rFonts w:hAnsi="宋体" w:cs="宋体"/>
          <w:color w:val="000000" w:themeColor="text1"/>
          <w:sz w:val="24"/>
          <w:szCs w:val="20"/>
          <w14:textFill>
            <w14:solidFill>
              <w14:schemeClr w14:val="tx1"/>
            </w14:solidFill>
          </w14:textFill>
        </w:rPr>
      </w:pPr>
      <w:r>
        <w:rPr>
          <w:rFonts w:hint="eastAsia" w:hAnsi="宋体" w:cs="宋体"/>
          <w:color w:val="000000" w:themeColor="text1"/>
          <w:sz w:val="24"/>
          <w:szCs w:val="20"/>
          <w14:textFill>
            <w14:solidFill>
              <w14:schemeClr w14:val="tx1"/>
            </w14:solidFill>
          </w14:textFill>
        </w:rPr>
        <w:t>日期：年月日</w:t>
      </w:r>
    </w:p>
    <w:p>
      <w:pPr>
        <w:spacing w:line="480" w:lineRule="exact"/>
        <w:rPr>
          <w:rFonts w:hAnsi="宋体" w:cs="宋体"/>
          <w:color w:val="000000" w:themeColor="text1"/>
          <w:sz w:val="24"/>
          <w:szCs w:val="20"/>
          <w14:textFill>
            <w14:solidFill>
              <w14:schemeClr w14:val="tx1"/>
            </w14:solidFill>
          </w14:textFill>
        </w:rPr>
      </w:pPr>
    </w:p>
    <w:p>
      <w:pPr>
        <w:snapToGrid w:val="0"/>
        <w:spacing w:line="480" w:lineRule="exact"/>
        <w:rPr>
          <w:rFonts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注：1、</w:t>
      </w:r>
      <w:r>
        <w:rPr>
          <w:rFonts w:ascii="宋体" w:hAnsi="宋体"/>
          <w:b/>
          <w:color w:val="000000" w:themeColor="text1"/>
          <w:sz w:val="24"/>
          <w:szCs w:val="20"/>
          <w14:textFill>
            <w14:solidFill>
              <w14:schemeClr w14:val="tx1"/>
            </w14:solidFill>
          </w14:textFill>
        </w:rPr>
        <w:t>本表</w:t>
      </w:r>
      <w:r>
        <w:rPr>
          <w:rFonts w:hint="eastAsia" w:ascii="宋体" w:hAnsi="宋体"/>
          <w:b/>
          <w:color w:val="000000" w:themeColor="text1"/>
          <w:sz w:val="24"/>
          <w:szCs w:val="20"/>
          <w14:textFill>
            <w14:solidFill>
              <w14:schemeClr w14:val="tx1"/>
            </w14:solidFill>
          </w14:textFill>
        </w:rPr>
        <w:t>为格式表</w:t>
      </w:r>
      <w:r>
        <w:rPr>
          <w:rFonts w:ascii="宋体" w:hAnsi="宋体"/>
          <w:b/>
          <w:color w:val="000000" w:themeColor="text1"/>
          <w:sz w:val="24"/>
          <w:szCs w:val="20"/>
          <w14:textFill>
            <w14:solidFill>
              <w14:schemeClr w14:val="tx1"/>
            </w14:solidFill>
          </w14:textFill>
        </w:rPr>
        <w:t>，</w:t>
      </w:r>
      <w:r>
        <w:rPr>
          <w:rFonts w:hint="eastAsia" w:ascii="宋体" w:hAnsi="宋体"/>
          <w:b/>
          <w:color w:val="000000" w:themeColor="text1"/>
          <w:sz w:val="24"/>
          <w:szCs w:val="20"/>
          <w14:textFill>
            <w14:solidFill>
              <w14:schemeClr w14:val="tx1"/>
            </w14:solidFill>
          </w14:textFill>
        </w:rPr>
        <w:t>不得自行改动，必须提供</w:t>
      </w:r>
      <w:r>
        <w:rPr>
          <w:rFonts w:ascii="宋体" w:hAnsi="宋体"/>
          <w:b/>
          <w:color w:val="000000" w:themeColor="text1"/>
          <w:sz w:val="24"/>
          <w:szCs w:val="20"/>
          <w14:textFill>
            <w14:solidFill>
              <w14:schemeClr w14:val="tx1"/>
            </w14:solidFill>
          </w14:textFill>
        </w:rPr>
        <w:t>。</w:t>
      </w:r>
    </w:p>
    <w:p>
      <w:pPr>
        <w:snapToGrid w:val="0"/>
        <w:spacing w:line="520" w:lineRule="exact"/>
        <w:ind w:firstLine="482" w:firstLineChars="200"/>
        <w:rPr>
          <w:rFonts w:hint="eastAsia" w:ascii="宋体" w:hAnsi="宋体"/>
          <w:b/>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2、项目完成且验收合格后一个月内支付合同总价的9</w:t>
      </w:r>
      <w:r>
        <w:rPr>
          <w:rFonts w:hint="eastAsia" w:ascii="宋体" w:hAnsi="宋体"/>
          <w:b/>
          <w:color w:val="000000" w:themeColor="text1"/>
          <w:sz w:val="24"/>
          <w:szCs w:val="20"/>
          <w:lang w:val="en-US" w:eastAsia="zh-CN"/>
          <w14:textFill>
            <w14:solidFill>
              <w14:schemeClr w14:val="tx1"/>
            </w14:solidFill>
          </w14:textFill>
        </w:rPr>
        <w:t>5</w:t>
      </w:r>
      <w:r>
        <w:rPr>
          <w:rFonts w:hint="eastAsia" w:ascii="宋体" w:hAnsi="宋体"/>
          <w:b/>
          <w:color w:val="000000" w:themeColor="text1"/>
          <w:sz w:val="24"/>
          <w:szCs w:val="20"/>
          <w14:textFill>
            <w14:solidFill>
              <w14:schemeClr w14:val="tx1"/>
            </w14:solidFill>
          </w14:textFill>
        </w:rPr>
        <w:t>%，余款待该建设项目完成后一次性付清。</w:t>
      </w:r>
    </w:p>
    <w:p>
      <w:pPr>
        <w:snapToGrid w:val="0"/>
        <w:spacing w:line="52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b/>
          <w:color w:val="000000" w:themeColor="text1"/>
          <w:sz w:val="24"/>
          <w:szCs w:val="20"/>
          <w14:textFill>
            <w14:solidFill>
              <w14:schemeClr w14:val="tx1"/>
            </w14:solidFill>
          </w14:textFill>
        </w:rPr>
        <w:t>3、第二及以后的报价将在开标现场填写，响应文件密封提交时只需填写磋商响应报价总表（首次）的报价。</w:t>
      </w:r>
      <w:r>
        <w:rPr>
          <w:rFonts w:hint="eastAsia" w:ascii="宋体" w:hAnsi="宋体"/>
          <w:b/>
          <w:color w:val="000000" w:themeColor="text1"/>
          <w:sz w:val="24"/>
          <w14:textFill>
            <w14:solidFill>
              <w14:schemeClr w14:val="tx1"/>
            </w14:solidFill>
          </w14:textFill>
        </w:rPr>
        <w:t>且第二次及之后报价时，磋商响应报价明细表按同比例下浮。</w:t>
      </w:r>
    </w:p>
    <w:p>
      <w:pPr>
        <w:snapToGrid w:val="0"/>
        <w:spacing w:line="520" w:lineRule="exact"/>
        <w:jc w:val="center"/>
        <w:outlineLvl w:val="4"/>
        <w:rPr>
          <w:rFonts w:ascii="宋体"/>
          <w:color w:val="000000" w:themeColor="text1"/>
          <w:sz w:val="24"/>
          <w:szCs w:val="24"/>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
        <w:ind w:firstLine="482"/>
        <w:rPr>
          <w:b/>
          <w:bCs/>
          <w:color w:val="000000" w:themeColor="text1"/>
          <w14:textFill>
            <w14:solidFill>
              <w14:schemeClr w14:val="tx1"/>
            </w14:solidFill>
          </w14:textFill>
        </w:rPr>
      </w:pPr>
    </w:p>
    <w:p>
      <w:pPr>
        <w:pStyle w:val="206"/>
        <w:spacing w:line="560" w:lineRule="exact"/>
        <w:jc w:val="center"/>
        <w:rPr>
          <w:rFonts w:asciiTheme="minorEastAsia" w:hAnsiTheme="minorEastAsia" w:eastAsiaTheme="minorEastAsia"/>
          <w:b/>
          <w:bCs/>
          <w:sz w:val="24"/>
        </w:rPr>
      </w:pPr>
    </w:p>
    <w:p>
      <w:pPr>
        <w:spacing w:after="120"/>
        <w:rPr>
          <w:color w:val="000000" w:themeColor="text1"/>
          <w:kern w:val="0"/>
          <w:sz w:val="20"/>
          <w:szCs w:val="20"/>
          <w14:textFill>
            <w14:solidFill>
              <w14:schemeClr w14:val="tx1"/>
            </w14:solidFill>
          </w14:textFill>
        </w:rPr>
      </w:pPr>
    </w:p>
    <w:sectPr>
      <w:pgSz w:w="11906" w:h="16838"/>
      <w:pgMar w:top="1270" w:right="1417" w:bottom="127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fldChar w:fldCharType="begin"/>
    </w:r>
    <w:r>
      <w:instrText xml:space="preserve"> PAGE   \* MERGEFORMAT </w:instrText>
    </w:r>
    <w:r>
      <w:fldChar w:fldCharType="separate"/>
    </w:r>
    <w:r>
      <w:rPr>
        <w:lang w:val="zh-CN"/>
      </w:rPr>
      <w:t>2</w:t>
    </w:r>
    <w:r>
      <w:rPr>
        <w:lang w:val="zh-CN"/>
      </w:rP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a:effectLst/>
                    </wps:spPr>
                    <wps:txbx>
                      <w:txbxContent>
                        <w:p>
                          <w:pPr>
                            <w:pStyle w:val="33"/>
                            <w:jc w:val="center"/>
                            <w:rPr>
                              <w:rFonts w:cs="Times New Roman"/>
                            </w:rPr>
                          </w:pPr>
                          <w:r>
                            <w:rPr>
                              <w:b/>
                              <w:bCs/>
                            </w:rPr>
                            <w:fldChar w:fldCharType="begin"/>
                          </w:r>
                          <w:r>
                            <w:rPr>
                              <w:b/>
                              <w:bCs/>
                            </w:rPr>
                            <w:instrText xml:space="preserve">PAGE</w:instrText>
                          </w:r>
                          <w:r>
                            <w:rPr>
                              <w:b/>
                              <w:bCs/>
                            </w:rPr>
                            <w:fldChar w:fldCharType="separate"/>
                          </w:r>
                          <w:r>
                            <w:rPr>
                              <w:b/>
                              <w:bCs/>
                            </w:rPr>
                            <w:t>34</w:t>
                          </w:r>
                          <w:r>
                            <w:rPr>
                              <w:b/>
                              <w:bCs/>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3RZsT0AAAAAMBAAAPAAAAAAAAAAEAIAAAACIAAABk&#10;cnMvZG93bnJldi54bWxQSwECFAAUAAAACACHTuJADHFzG9UBAACoAwAADgAAAAAAAAABACAAAAAf&#10;AQAAZHJzL2Uyb0RvYy54bWxQSwUGAAAAAAYABgBZAQAAZgUAAAAA&#10;">
              <v:fill on="f" focussize="0,0"/>
              <v:stroke on="f"/>
              <v:imagedata o:title=""/>
              <o:lock v:ext="edit" aspectratio="f"/>
              <v:textbox inset="0mm,0mm,0mm,0mm" style="mso-fit-shape-to-text:t;">
                <w:txbxContent>
                  <w:p>
                    <w:pPr>
                      <w:pStyle w:val="33"/>
                      <w:jc w:val="center"/>
                      <w:rPr>
                        <w:rFonts w:cs="Times New Roman"/>
                      </w:rPr>
                    </w:pPr>
                    <w:r>
                      <w:rPr>
                        <w:b/>
                        <w:bCs/>
                      </w:rPr>
                      <w:fldChar w:fldCharType="begin"/>
                    </w:r>
                    <w:r>
                      <w:rPr>
                        <w:b/>
                        <w:bCs/>
                      </w:rPr>
                      <w:instrText xml:space="preserve">PAGE</w:instrText>
                    </w:r>
                    <w:r>
                      <w:rPr>
                        <w:b/>
                        <w:bCs/>
                      </w:rPr>
                      <w:fldChar w:fldCharType="separate"/>
                    </w:r>
                    <w:r>
                      <w:rPr>
                        <w:b/>
                        <w:bCs/>
                      </w:rPr>
                      <w:t>34</w:t>
                    </w:r>
                    <w:r>
                      <w:rPr>
                        <w:b/>
                        <w:bCs/>
                      </w:rPr>
                      <w:fldChar w:fldCharType="end"/>
                    </w:r>
                  </w:p>
                </w:txbxContent>
              </v:textbox>
            </v:shape>
          </w:pict>
        </mc:Fallback>
      </mc:AlternateContent>
    </w:r>
  </w:p>
  <w:p>
    <w:pPr>
      <w:pStyle w:val="3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pacing w:line="560" w:lineRule="exact"/>
      <w:rPr>
        <w:rFonts w:ascii="宋体" w:hAnsi="宋体"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chineseCountingThousand"/>
      <w:pStyle w:val="5"/>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1">
    <w:nsid w:val="18CB67E0"/>
    <w:multiLevelType w:val="multilevel"/>
    <w:tmpl w:val="18CB67E0"/>
    <w:lvl w:ilvl="0" w:tentative="0">
      <w:start w:val="1"/>
      <w:numFmt w:val="decimal"/>
      <w:lvlText w:val="1.%1"/>
      <w:lvlJc w:val="left"/>
      <w:pPr>
        <w:tabs>
          <w:tab w:val="left" w:pos="425"/>
        </w:tabs>
        <w:ind w:left="425" w:hanging="425"/>
      </w:pPr>
      <w:rPr>
        <w:rFonts w:hint="eastAsia"/>
      </w:rPr>
    </w:lvl>
    <w:lvl w:ilvl="1" w:tentative="0">
      <w:start w:val="1"/>
      <w:numFmt w:val="decimal"/>
      <w:lvlText w:val="2.%2."/>
      <w:lvlJc w:val="left"/>
      <w:pPr>
        <w:tabs>
          <w:tab w:val="left" w:pos="845"/>
        </w:tabs>
        <w:ind w:left="845" w:hanging="420"/>
      </w:pPr>
      <w:rPr>
        <w:rFonts w:hint="eastAsia" w:ascii="宋体" w:hAnsi="宋体" w:eastAsia="宋体"/>
      </w:rPr>
    </w:lvl>
    <w:lvl w:ilvl="2" w:tentative="0">
      <w:start w:val="1"/>
      <w:numFmt w:val="decimal"/>
      <w:lvlText w:val="附件8－%3."/>
      <w:lvlJc w:val="left"/>
      <w:pPr>
        <w:tabs>
          <w:tab w:val="left" w:pos="2291"/>
        </w:tabs>
        <w:ind w:left="1418" w:hanging="567"/>
      </w:pPr>
      <w:rPr>
        <w:rFonts w:hint="eastAsia"/>
      </w:rPr>
    </w:lvl>
    <w:lvl w:ilvl="3" w:tentative="0">
      <w:start w:val="1"/>
      <w:numFmt w:val="decimal"/>
      <w:lvlText w:val="%1.%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A4D27E2"/>
    <w:multiLevelType w:val="multilevel"/>
    <w:tmpl w:val="1A4D27E2"/>
    <w:lvl w:ilvl="0" w:tentative="0">
      <w:start w:val="1"/>
      <w:numFmt w:val="decimal"/>
      <w:lvlText w:val="%1."/>
      <w:lvlJc w:val="left"/>
      <w:pPr>
        <w:tabs>
          <w:tab w:val="left" w:pos="891"/>
        </w:tabs>
        <w:ind w:left="891" w:hanging="420"/>
      </w:pPr>
      <w:rPr>
        <w:rFonts w:hint="eastAsia"/>
        <w:b/>
        <w:i w:val="0"/>
      </w:rPr>
    </w:lvl>
    <w:lvl w:ilvl="1" w:tentative="0">
      <w:start w:val="1"/>
      <w:numFmt w:val="decimal"/>
      <w:lvlText w:val="%2．"/>
      <w:lvlJc w:val="left"/>
      <w:pPr>
        <w:tabs>
          <w:tab w:val="left" w:pos="1251"/>
        </w:tabs>
        <w:ind w:left="1251" w:hanging="360"/>
      </w:pPr>
      <w:rPr>
        <w:rFonts w:hint="default"/>
      </w:rPr>
    </w:lvl>
    <w:lvl w:ilvl="2" w:tentative="0">
      <w:start w:val="2"/>
      <w:numFmt w:val="decimalEnclosedParen"/>
      <w:lvlText w:val="%3"/>
      <w:lvlJc w:val="left"/>
      <w:pPr>
        <w:ind w:left="1671" w:hanging="360"/>
      </w:pPr>
      <w:rPr>
        <w:rFonts w:hint="default"/>
      </w:rPr>
    </w:lvl>
    <w:lvl w:ilvl="3" w:tentative="0">
      <w:start w:val="1"/>
      <w:numFmt w:val="decimal"/>
      <w:lvlText w:val="%4."/>
      <w:lvlJc w:val="left"/>
      <w:pPr>
        <w:tabs>
          <w:tab w:val="left" w:pos="2151"/>
        </w:tabs>
        <w:ind w:left="2151" w:hanging="420"/>
      </w:pPr>
    </w:lvl>
    <w:lvl w:ilvl="4" w:tentative="0">
      <w:start w:val="1"/>
      <w:numFmt w:val="lowerLetter"/>
      <w:lvlText w:val="%5)"/>
      <w:lvlJc w:val="left"/>
      <w:pPr>
        <w:tabs>
          <w:tab w:val="left" w:pos="2571"/>
        </w:tabs>
        <w:ind w:left="2571" w:hanging="420"/>
      </w:pPr>
    </w:lvl>
    <w:lvl w:ilvl="5" w:tentative="0">
      <w:start w:val="1"/>
      <w:numFmt w:val="lowerRoman"/>
      <w:lvlText w:val="%6."/>
      <w:lvlJc w:val="right"/>
      <w:pPr>
        <w:tabs>
          <w:tab w:val="left" w:pos="2991"/>
        </w:tabs>
        <w:ind w:left="2991" w:hanging="420"/>
      </w:pPr>
    </w:lvl>
    <w:lvl w:ilvl="6" w:tentative="0">
      <w:start w:val="1"/>
      <w:numFmt w:val="decimal"/>
      <w:lvlText w:val="%7."/>
      <w:lvlJc w:val="left"/>
      <w:pPr>
        <w:tabs>
          <w:tab w:val="left" w:pos="3411"/>
        </w:tabs>
        <w:ind w:left="3411" w:hanging="420"/>
      </w:pPr>
    </w:lvl>
    <w:lvl w:ilvl="7" w:tentative="0">
      <w:start w:val="1"/>
      <w:numFmt w:val="lowerLetter"/>
      <w:lvlText w:val="%8)"/>
      <w:lvlJc w:val="left"/>
      <w:pPr>
        <w:tabs>
          <w:tab w:val="left" w:pos="3831"/>
        </w:tabs>
        <w:ind w:left="3831" w:hanging="420"/>
      </w:pPr>
    </w:lvl>
    <w:lvl w:ilvl="8" w:tentative="0">
      <w:start w:val="1"/>
      <w:numFmt w:val="lowerRoman"/>
      <w:lvlText w:val="%9."/>
      <w:lvlJc w:val="right"/>
      <w:pPr>
        <w:tabs>
          <w:tab w:val="left" w:pos="4251"/>
        </w:tabs>
        <w:ind w:left="4251" w:hanging="420"/>
      </w:pPr>
    </w:lvl>
  </w:abstractNum>
  <w:abstractNum w:abstractNumId="3">
    <w:nsid w:val="572AE91F"/>
    <w:multiLevelType w:val="singleLevel"/>
    <w:tmpl w:val="572AE91F"/>
    <w:lvl w:ilvl="0" w:tentative="0">
      <w:start w:val="5"/>
      <w:numFmt w:val="chineseCounting"/>
      <w:suff w:val="space"/>
      <w:lvlText w:val="第%1章"/>
      <w:lvlJc w:val="left"/>
    </w:lvl>
  </w:abstractNum>
  <w:abstractNum w:abstractNumId="4">
    <w:nsid w:val="5AC27D36"/>
    <w:multiLevelType w:val="multilevel"/>
    <w:tmpl w:val="5AC27D36"/>
    <w:lvl w:ilvl="0" w:tentative="0">
      <w:start w:val="1"/>
      <w:numFmt w:val="decimal"/>
      <w:lvlText w:val="1.%1"/>
      <w:lvlJc w:val="left"/>
      <w:pPr>
        <w:tabs>
          <w:tab w:val="left" w:pos="425"/>
        </w:tabs>
        <w:ind w:left="425" w:hanging="425"/>
      </w:pPr>
      <w:rPr>
        <w:rFonts w:hint="eastAsia"/>
      </w:rPr>
    </w:lvl>
    <w:lvl w:ilvl="1" w:tentative="0">
      <w:start w:val="1"/>
      <w:numFmt w:val="decimal"/>
      <w:lvlText w:val="1.%2."/>
      <w:lvlJc w:val="left"/>
      <w:pPr>
        <w:tabs>
          <w:tab w:val="left" w:pos="845"/>
        </w:tabs>
        <w:ind w:left="845" w:hanging="420"/>
      </w:pPr>
      <w:rPr>
        <w:rFonts w:hint="eastAsia" w:ascii="宋体" w:hAnsi="宋体" w:eastAsia="宋体"/>
      </w:rPr>
    </w:lvl>
    <w:lvl w:ilvl="2" w:tentative="0">
      <w:start w:val="1"/>
      <w:numFmt w:val="decimal"/>
      <w:lvlText w:val="附件8－%3."/>
      <w:lvlJc w:val="left"/>
      <w:pPr>
        <w:tabs>
          <w:tab w:val="left" w:pos="2291"/>
        </w:tabs>
        <w:ind w:left="1418" w:hanging="567"/>
      </w:pPr>
      <w:rPr>
        <w:rFonts w:hint="eastAsia"/>
      </w:rPr>
    </w:lvl>
    <w:lvl w:ilvl="3" w:tentative="0">
      <w:start w:val="1"/>
      <w:numFmt w:val="decimal"/>
      <w:lvlText w:val="%1.%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4"/>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NjNmMTNlNmU5ZGQ4N2Y1MmQzYzlkN2I4MTc4YWEifQ=="/>
  </w:docVars>
  <w:rsids>
    <w:rsidRoot w:val="00172A27"/>
    <w:rsid w:val="000002C1"/>
    <w:rsid w:val="000008E1"/>
    <w:rsid w:val="000058C1"/>
    <w:rsid w:val="00005F7A"/>
    <w:rsid w:val="00006ABE"/>
    <w:rsid w:val="00007F59"/>
    <w:rsid w:val="0001029F"/>
    <w:rsid w:val="000102D4"/>
    <w:rsid w:val="0001495D"/>
    <w:rsid w:val="00016294"/>
    <w:rsid w:val="00021EFF"/>
    <w:rsid w:val="00021FBC"/>
    <w:rsid w:val="00021FC4"/>
    <w:rsid w:val="00023F8C"/>
    <w:rsid w:val="000243F7"/>
    <w:rsid w:val="0002545F"/>
    <w:rsid w:val="000266BD"/>
    <w:rsid w:val="00026B68"/>
    <w:rsid w:val="000277A9"/>
    <w:rsid w:val="00034047"/>
    <w:rsid w:val="0003602F"/>
    <w:rsid w:val="000361E7"/>
    <w:rsid w:val="00037B25"/>
    <w:rsid w:val="00037B3B"/>
    <w:rsid w:val="000407F6"/>
    <w:rsid w:val="0004431A"/>
    <w:rsid w:val="00050B92"/>
    <w:rsid w:val="00050BBD"/>
    <w:rsid w:val="00054028"/>
    <w:rsid w:val="00056E5D"/>
    <w:rsid w:val="0005762B"/>
    <w:rsid w:val="000606F5"/>
    <w:rsid w:val="00062482"/>
    <w:rsid w:val="00063304"/>
    <w:rsid w:val="000643A3"/>
    <w:rsid w:val="000655FD"/>
    <w:rsid w:val="00065E68"/>
    <w:rsid w:val="00066618"/>
    <w:rsid w:val="00071345"/>
    <w:rsid w:val="00071716"/>
    <w:rsid w:val="0007488A"/>
    <w:rsid w:val="00074B89"/>
    <w:rsid w:val="00074C43"/>
    <w:rsid w:val="000827D1"/>
    <w:rsid w:val="000829F3"/>
    <w:rsid w:val="00082D50"/>
    <w:rsid w:val="00083910"/>
    <w:rsid w:val="00084E31"/>
    <w:rsid w:val="00085F8A"/>
    <w:rsid w:val="00090781"/>
    <w:rsid w:val="000925AA"/>
    <w:rsid w:val="000939C5"/>
    <w:rsid w:val="00094062"/>
    <w:rsid w:val="000978C3"/>
    <w:rsid w:val="00097CA4"/>
    <w:rsid w:val="000A0625"/>
    <w:rsid w:val="000A08E5"/>
    <w:rsid w:val="000A1885"/>
    <w:rsid w:val="000A2C95"/>
    <w:rsid w:val="000A2F79"/>
    <w:rsid w:val="000A710B"/>
    <w:rsid w:val="000B2047"/>
    <w:rsid w:val="000B2801"/>
    <w:rsid w:val="000B38FB"/>
    <w:rsid w:val="000B4A07"/>
    <w:rsid w:val="000B53A1"/>
    <w:rsid w:val="000C1605"/>
    <w:rsid w:val="000C2C9C"/>
    <w:rsid w:val="000C3E5E"/>
    <w:rsid w:val="000C4679"/>
    <w:rsid w:val="000C7EA1"/>
    <w:rsid w:val="000D121D"/>
    <w:rsid w:val="000D204D"/>
    <w:rsid w:val="000D2216"/>
    <w:rsid w:val="000D2C01"/>
    <w:rsid w:val="000D4C32"/>
    <w:rsid w:val="000D5D57"/>
    <w:rsid w:val="000D694F"/>
    <w:rsid w:val="000D6E50"/>
    <w:rsid w:val="000E30B4"/>
    <w:rsid w:val="000E66F3"/>
    <w:rsid w:val="000F1902"/>
    <w:rsid w:val="000F2407"/>
    <w:rsid w:val="000F3446"/>
    <w:rsid w:val="000F454C"/>
    <w:rsid w:val="000F59FF"/>
    <w:rsid w:val="00100AF9"/>
    <w:rsid w:val="00100FE7"/>
    <w:rsid w:val="001020F7"/>
    <w:rsid w:val="00103D77"/>
    <w:rsid w:val="00105BBC"/>
    <w:rsid w:val="001062B6"/>
    <w:rsid w:val="00110BA5"/>
    <w:rsid w:val="0011354B"/>
    <w:rsid w:val="00113EAD"/>
    <w:rsid w:val="0011474C"/>
    <w:rsid w:val="0011720E"/>
    <w:rsid w:val="00120CE9"/>
    <w:rsid w:val="00123BD5"/>
    <w:rsid w:val="00125073"/>
    <w:rsid w:val="001256F9"/>
    <w:rsid w:val="001258B9"/>
    <w:rsid w:val="00127592"/>
    <w:rsid w:val="0013050F"/>
    <w:rsid w:val="00131CC6"/>
    <w:rsid w:val="0013239E"/>
    <w:rsid w:val="00132A4A"/>
    <w:rsid w:val="00133CBD"/>
    <w:rsid w:val="00135173"/>
    <w:rsid w:val="00136FE5"/>
    <w:rsid w:val="001370FE"/>
    <w:rsid w:val="001419C0"/>
    <w:rsid w:val="00141EA3"/>
    <w:rsid w:val="001423FA"/>
    <w:rsid w:val="0014374E"/>
    <w:rsid w:val="001505CF"/>
    <w:rsid w:val="00150875"/>
    <w:rsid w:val="00150D75"/>
    <w:rsid w:val="001528E4"/>
    <w:rsid w:val="00157327"/>
    <w:rsid w:val="00160BE8"/>
    <w:rsid w:val="00161A19"/>
    <w:rsid w:val="0016373B"/>
    <w:rsid w:val="001663EB"/>
    <w:rsid w:val="00172A27"/>
    <w:rsid w:val="00175CB6"/>
    <w:rsid w:val="001804FD"/>
    <w:rsid w:val="00181ECB"/>
    <w:rsid w:val="0018394A"/>
    <w:rsid w:val="00186A58"/>
    <w:rsid w:val="00190C21"/>
    <w:rsid w:val="001929F3"/>
    <w:rsid w:val="00192AB4"/>
    <w:rsid w:val="001962B1"/>
    <w:rsid w:val="001976BE"/>
    <w:rsid w:val="001A0983"/>
    <w:rsid w:val="001A52EC"/>
    <w:rsid w:val="001A7854"/>
    <w:rsid w:val="001B0894"/>
    <w:rsid w:val="001B271D"/>
    <w:rsid w:val="001B4D1C"/>
    <w:rsid w:val="001B4E47"/>
    <w:rsid w:val="001B56E3"/>
    <w:rsid w:val="001B5775"/>
    <w:rsid w:val="001B6B02"/>
    <w:rsid w:val="001B70ED"/>
    <w:rsid w:val="001C216A"/>
    <w:rsid w:val="001C2231"/>
    <w:rsid w:val="001C6469"/>
    <w:rsid w:val="001C74A4"/>
    <w:rsid w:val="001D0AEE"/>
    <w:rsid w:val="001D1E4A"/>
    <w:rsid w:val="001D60DD"/>
    <w:rsid w:val="001E1A38"/>
    <w:rsid w:val="001E23BC"/>
    <w:rsid w:val="001E2662"/>
    <w:rsid w:val="001E3534"/>
    <w:rsid w:val="001E48AB"/>
    <w:rsid w:val="001E7C9C"/>
    <w:rsid w:val="001F31DA"/>
    <w:rsid w:val="001F4880"/>
    <w:rsid w:val="001F5047"/>
    <w:rsid w:val="001F5A4B"/>
    <w:rsid w:val="001F650B"/>
    <w:rsid w:val="001F66C8"/>
    <w:rsid w:val="001F69A4"/>
    <w:rsid w:val="00200061"/>
    <w:rsid w:val="00200284"/>
    <w:rsid w:val="00201B85"/>
    <w:rsid w:val="00202E65"/>
    <w:rsid w:val="00202E6E"/>
    <w:rsid w:val="0020376F"/>
    <w:rsid w:val="00206420"/>
    <w:rsid w:val="00206AF1"/>
    <w:rsid w:val="002070D5"/>
    <w:rsid w:val="00207784"/>
    <w:rsid w:val="00207F85"/>
    <w:rsid w:val="002100AE"/>
    <w:rsid w:val="00211497"/>
    <w:rsid w:val="00211E09"/>
    <w:rsid w:val="0021472D"/>
    <w:rsid w:val="00217EFB"/>
    <w:rsid w:val="00220D1F"/>
    <w:rsid w:val="00223466"/>
    <w:rsid w:val="00224F5F"/>
    <w:rsid w:val="00225670"/>
    <w:rsid w:val="002257D7"/>
    <w:rsid w:val="00225DFC"/>
    <w:rsid w:val="00231148"/>
    <w:rsid w:val="002315E8"/>
    <w:rsid w:val="00235015"/>
    <w:rsid w:val="00236425"/>
    <w:rsid w:val="00237122"/>
    <w:rsid w:val="00240EF7"/>
    <w:rsid w:val="002416D0"/>
    <w:rsid w:val="00245B72"/>
    <w:rsid w:val="002465F4"/>
    <w:rsid w:val="00246AE7"/>
    <w:rsid w:val="0024703E"/>
    <w:rsid w:val="00247445"/>
    <w:rsid w:val="002509ED"/>
    <w:rsid w:val="00253F6B"/>
    <w:rsid w:val="00255AB0"/>
    <w:rsid w:val="00260193"/>
    <w:rsid w:val="00260CD4"/>
    <w:rsid w:val="002611FD"/>
    <w:rsid w:val="00261BC6"/>
    <w:rsid w:val="00262D6D"/>
    <w:rsid w:val="00265658"/>
    <w:rsid w:val="002656FE"/>
    <w:rsid w:val="00266DB4"/>
    <w:rsid w:val="00266F2F"/>
    <w:rsid w:val="0026722D"/>
    <w:rsid w:val="00271E05"/>
    <w:rsid w:val="002743B2"/>
    <w:rsid w:val="00275439"/>
    <w:rsid w:val="00275DE2"/>
    <w:rsid w:val="002818BB"/>
    <w:rsid w:val="00282F3A"/>
    <w:rsid w:val="00284552"/>
    <w:rsid w:val="00284E6A"/>
    <w:rsid w:val="00287542"/>
    <w:rsid w:val="00287808"/>
    <w:rsid w:val="002879D0"/>
    <w:rsid w:val="00291332"/>
    <w:rsid w:val="00291738"/>
    <w:rsid w:val="00294389"/>
    <w:rsid w:val="0029796E"/>
    <w:rsid w:val="00297FE6"/>
    <w:rsid w:val="002A09EE"/>
    <w:rsid w:val="002A1CB7"/>
    <w:rsid w:val="002A1F8F"/>
    <w:rsid w:val="002A2D12"/>
    <w:rsid w:val="002A2F7D"/>
    <w:rsid w:val="002A4CE4"/>
    <w:rsid w:val="002A6137"/>
    <w:rsid w:val="002A71EE"/>
    <w:rsid w:val="002A7980"/>
    <w:rsid w:val="002B7251"/>
    <w:rsid w:val="002B77A5"/>
    <w:rsid w:val="002B7CFD"/>
    <w:rsid w:val="002C2290"/>
    <w:rsid w:val="002C3237"/>
    <w:rsid w:val="002C5470"/>
    <w:rsid w:val="002C5AB6"/>
    <w:rsid w:val="002C617F"/>
    <w:rsid w:val="002C71C8"/>
    <w:rsid w:val="002D0F15"/>
    <w:rsid w:val="002D7709"/>
    <w:rsid w:val="002D7C8B"/>
    <w:rsid w:val="002E0741"/>
    <w:rsid w:val="002E214B"/>
    <w:rsid w:val="002E385C"/>
    <w:rsid w:val="002E5876"/>
    <w:rsid w:val="002E5B21"/>
    <w:rsid w:val="002E62B0"/>
    <w:rsid w:val="002F2C1A"/>
    <w:rsid w:val="002F2F03"/>
    <w:rsid w:val="002F3519"/>
    <w:rsid w:val="002F677F"/>
    <w:rsid w:val="0030187C"/>
    <w:rsid w:val="00303A7A"/>
    <w:rsid w:val="00305B2D"/>
    <w:rsid w:val="00306E19"/>
    <w:rsid w:val="0030764B"/>
    <w:rsid w:val="00307ADC"/>
    <w:rsid w:val="003101C1"/>
    <w:rsid w:val="00314C22"/>
    <w:rsid w:val="00314EA0"/>
    <w:rsid w:val="003175A8"/>
    <w:rsid w:val="0032064F"/>
    <w:rsid w:val="00320AEB"/>
    <w:rsid w:val="003311BA"/>
    <w:rsid w:val="00331BE9"/>
    <w:rsid w:val="00331C0C"/>
    <w:rsid w:val="00331CB7"/>
    <w:rsid w:val="0033229E"/>
    <w:rsid w:val="00332927"/>
    <w:rsid w:val="003339B0"/>
    <w:rsid w:val="00335723"/>
    <w:rsid w:val="003358D8"/>
    <w:rsid w:val="00337545"/>
    <w:rsid w:val="003428D6"/>
    <w:rsid w:val="00343298"/>
    <w:rsid w:val="00343431"/>
    <w:rsid w:val="00343CC0"/>
    <w:rsid w:val="00343F86"/>
    <w:rsid w:val="00346592"/>
    <w:rsid w:val="00346D58"/>
    <w:rsid w:val="00346FA1"/>
    <w:rsid w:val="00347DEF"/>
    <w:rsid w:val="00350C1C"/>
    <w:rsid w:val="00354907"/>
    <w:rsid w:val="00355DBE"/>
    <w:rsid w:val="00356CA9"/>
    <w:rsid w:val="003643E9"/>
    <w:rsid w:val="00366D9E"/>
    <w:rsid w:val="00366DF2"/>
    <w:rsid w:val="0037003C"/>
    <w:rsid w:val="00370706"/>
    <w:rsid w:val="00370805"/>
    <w:rsid w:val="00370AC4"/>
    <w:rsid w:val="0037165C"/>
    <w:rsid w:val="00372BAE"/>
    <w:rsid w:val="00373EA2"/>
    <w:rsid w:val="003740F9"/>
    <w:rsid w:val="00374DDC"/>
    <w:rsid w:val="003776B3"/>
    <w:rsid w:val="003817E3"/>
    <w:rsid w:val="00381EBE"/>
    <w:rsid w:val="0038506A"/>
    <w:rsid w:val="003858EF"/>
    <w:rsid w:val="0038623A"/>
    <w:rsid w:val="00387854"/>
    <w:rsid w:val="00396574"/>
    <w:rsid w:val="003967B3"/>
    <w:rsid w:val="00397129"/>
    <w:rsid w:val="003975A5"/>
    <w:rsid w:val="0039790E"/>
    <w:rsid w:val="00397C9B"/>
    <w:rsid w:val="003A01C6"/>
    <w:rsid w:val="003A3BAC"/>
    <w:rsid w:val="003A5164"/>
    <w:rsid w:val="003A5379"/>
    <w:rsid w:val="003A57BD"/>
    <w:rsid w:val="003A7C67"/>
    <w:rsid w:val="003B4C5E"/>
    <w:rsid w:val="003B5138"/>
    <w:rsid w:val="003C041D"/>
    <w:rsid w:val="003C08D2"/>
    <w:rsid w:val="003C0C28"/>
    <w:rsid w:val="003C1F8E"/>
    <w:rsid w:val="003C286E"/>
    <w:rsid w:val="003C58FD"/>
    <w:rsid w:val="003C5C67"/>
    <w:rsid w:val="003D0A3A"/>
    <w:rsid w:val="003D2FA0"/>
    <w:rsid w:val="003D5966"/>
    <w:rsid w:val="003D6CB7"/>
    <w:rsid w:val="003D77DF"/>
    <w:rsid w:val="003E3312"/>
    <w:rsid w:val="003E5F57"/>
    <w:rsid w:val="003E6CA3"/>
    <w:rsid w:val="003E764B"/>
    <w:rsid w:val="003E7713"/>
    <w:rsid w:val="003F0730"/>
    <w:rsid w:val="003F4B46"/>
    <w:rsid w:val="004002F3"/>
    <w:rsid w:val="004011B9"/>
    <w:rsid w:val="00403824"/>
    <w:rsid w:val="004050BB"/>
    <w:rsid w:val="004059F8"/>
    <w:rsid w:val="004064B2"/>
    <w:rsid w:val="00406D92"/>
    <w:rsid w:val="00407C91"/>
    <w:rsid w:val="00411773"/>
    <w:rsid w:val="00412E9C"/>
    <w:rsid w:val="004136C9"/>
    <w:rsid w:val="00413FE7"/>
    <w:rsid w:val="004161DA"/>
    <w:rsid w:val="00416484"/>
    <w:rsid w:val="00417B98"/>
    <w:rsid w:val="0042038D"/>
    <w:rsid w:val="00420773"/>
    <w:rsid w:val="00425D87"/>
    <w:rsid w:val="00425FD6"/>
    <w:rsid w:val="004279C7"/>
    <w:rsid w:val="0043369C"/>
    <w:rsid w:val="004338DF"/>
    <w:rsid w:val="00433D36"/>
    <w:rsid w:val="0043477C"/>
    <w:rsid w:val="00434E35"/>
    <w:rsid w:val="00437C76"/>
    <w:rsid w:val="00441EA4"/>
    <w:rsid w:val="00444AB9"/>
    <w:rsid w:val="00447C56"/>
    <w:rsid w:val="00451E6C"/>
    <w:rsid w:val="00453C4A"/>
    <w:rsid w:val="00453D73"/>
    <w:rsid w:val="00453E65"/>
    <w:rsid w:val="004561B2"/>
    <w:rsid w:val="0045785B"/>
    <w:rsid w:val="00461130"/>
    <w:rsid w:val="004623F7"/>
    <w:rsid w:val="0046356E"/>
    <w:rsid w:val="0047073F"/>
    <w:rsid w:val="004719DC"/>
    <w:rsid w:val="004721E5"/>
    <w:rsid w:val="004736DD"/>
    <w:rsid w:val="004754BC"/>
    <w:rsid w:val="0048159E"/>
    <w:rsid w:val="004817D8"/>
    <w:rsid w:val="004820DF"/>
    <w:rsid w:val="00482A61"/>
    <w:rsid w:val="00490AC6"/>
    <w:rsid w:val="00490D12"/>
    <w:rsid w:val="00491943"/>
    <w:rsid w:val="00491CD0"/>
    <w:rsid w:val="0049332D"/>
    <w:rsid w:val="00493E82"/>
    <w:rsid w:val="00496D73"/>
    <w:rsid w:val="004A1BF1"/>
    <w:rsid w:val="004A377D"/>
    <w:rsid w:val="004A3BDB"/>
    <w:rsid w:val="004A405A"/>
    <w:rsid w:val="004A56DD"/>
    <w:rsid w:val="004A5934"/>
    <w:rsid w:val="004A5F1F"/>
    <w:rsid w:val="004A7F32"/>
    <w:rsid w:val="004B0C2D"/>
    <w:rsid w:val="004B1233"/>
    <w:rsid w:val="004B208A"/>
    <w:rsid w:val="004B5235"/>
    <w:rsid w:val="004B67DE"/>
    <w:rsid w:val="004B7D94"/>
    <w:rsid w:val="004C05C3"/>
    <w:rsid w:val="004C06BA"/>
    <w:rsid w:val="004C0AB3"/>
    <w:rsid w:val="004C0D0F"/>
    <w:rsid w:val="004C20BA"/>
    <w:rsid w:val="004C2A62"/>
    <w:rsid w:val="004C420A"/>
    <w:rsid w:val="004C434E"/>
    <w:rsid w:val="004C639B"/>
    <w:rsid w:val="004D00F8"/>
    <w:rsid w:val="004D097D"/>
    <w:rsid w:val="004D110E"/>
    <w:rsid w:val="004D128E"/>
    <w:rsid w:val="004E3E36"/>
    <w:rsid w:val="004E6211"/>
    <w:rsid w:val="004E704E"/>
    <w:rsid w:val="004F364D"/>
    <w:rsid w:val="004F534F"/>
    <w:rsid w:val="004F6D64"/>
    <w:rsid w:val="004F7AFA"/>
    <w:rsid w:val="00503EBC"/>
    <w:rsid w:val="00504311"/>
    <w:rsid w:val="00510574"/>
    <w:rsid w:val="00510919"/>
    <w:rsid w:val="00510E2C"/>
    <w:rsid w:val="00511A8D"/>
    <w:rsid w:val="005129D6"/>
    <w:rsid w:val="00513F04"/>
    <w:rsid w:val="00514F19"/>
    <w:rsid w:val="005164FD"/>
    <w:rsid w:val="0051662D"/>
    <w:rsid w:val="005177C6"/>
    <w:rsid w:val="005212FD"/>
    <w:rsid w:val="00524448"/>
    <w:rsid w:val="00526435"/>
    <w:rsid w:val="005300E8"/>
    <w:rsid w:val="00531DCB"/>
    <w:rsid w:val="00532531"/>
    <w:rsid w:val="00532C54"/>
    <w:rsid w:val="005348A6"/>
    <w:rsid w:val="0053747E"/>
    <w:rsid w:val="0053785D"/>
    <w:rsid w:val="00537AF6"/>
    <w:rsid w:val="00537DF0"/>
    <w:rsid w:val="00540647"/>
    <w:rsid w:val="00540E45"/>
    <w:rsid w:val="00547813"/>
    <w:rsid w:val="005478BE"/>
    <w:rsid w:val="005506EF"/>
    <w:rsid w:val="00551D57"/>
    <w:rsid w:val="005520FF"/>
    <w:rsid w:val="0055332A"/>
    <w:rsid w:val="005542D7"/>
    <w:rsid w:val="00555558"/>
    <w:rsid w:val="00556AF7"/>
    <w:rsid w:val="00560E05"/>
    <w:rsid w:val="0056421D"/>
    <w:rsid w:val="005655BC"/>
    <w:rsid w:val="00565752"/>
    <w:rsid w:val="005658DD"/>
    <w:rsid w:val="00566269"/>
    <w:rsid w:val="00567762"/>
    <w:rsid w:val="00570C05"/>
    <w:rsid w:val="00573D1A"/>
    <w:rsid w:val="00574C7B"/>
    <w:rsid w:val="00575CC1"/>
    <w:rsid w:val="00575F45"/>
    <w:rsid w:val="00576BA1"/>
    <w:rsid w:val="005804A2"/>
    <w:rsid w:val="00580A48"/>
    <w:rsid w:val="005823FB"/>
    <w:rsid w:val="005843B8"/>
    <w:rsid w:val="00585154"/>
    <w:rsid w:val="00591060"/>
    <w:rsid w:val="005928D7"/>
    <w:rsid w:val="0059320F"/>
    <w:rsid w:val="00594010"/>
    <w:rsid w:val="00594BBE"/>
    <w:rsid w:val="005955DC"/>
    <w:rsid w:val="00595FA9"/>
    <w:rsid w:val="005972C3"/>
    <w:rsid w:val="005A52A9"/>
    <w:rsid w:val="005A673F"/>
    <w:rsid w:val="005A68E8"/>
    <w:rsid w:val="005B1057"/>
    <w:rsid w:val="005B11F9"/>
    <w:rsid w:val="005B21DF"/>
    <w:rsid w:val="005B2218"/>
    <w:rsid w:val="005B308C"/>
    <w:rsid w:val="005B63E4"/>
    <w:rsid w:val="005C0614"/>
    <w:rsid w:val="005C0967"/>
    <w:rsid w:val="005C0D06"/>
    <w:rsid w:val="005C0F29"/>
    <w:rsid w:val="005C176A"/>
    <w:rsid w:val="005C193D"/>
    <w:rsid w:val="005C24A9"/>
    <w:rsid w:val="005C2B69"/>
    <w:rsid w:val="005C38AF"/>
    <w:rsid w:val="005D20C0"/>
    <w:rsid w:val="005D4622"/>
    <w:rsid w:val="005D60C9"/>
    <w:rsid w:val="005E1FC2"/>
    <w:rsid w:val="005E2C5E"/>
    <w:rsid w:val="005E57BB"/>
    <w:rsid w:val="005E5EDB"/>
    <w:rsid w:val="005E70E4"/>
    <w:rsid w:val="005E7AE6"/>
    <w:rsid w:val="005F0F23"/>
    <w:rsid w:val="005F1612"/>
    <w:rsid w:val="005F23F4"/>
    <w:rsid w:val="005F44E9"/>
    <w:rsid w:val="005F6FF3"/>
    <w:rsid w:val="0060001C"/>
    <w:rsid w:val="00600D08"/>
    <w:rsid w:val="006031BC"/>
    <w:rsid w:val="00603887"/>
    <w:rsid w:val="0060566C"/>
    <w:rsid w:val="00610073"/>
    <w:rsid w:val="00612A25"/>
    <w:rsid w:val="00612E25"/>
    <w:rsid w:val="00622E32"/>
    <w:rsid w:val="006231DE"/>
    <w:rsid w:val="00623ACE"/>
    <w:rsid w:val="00624133"/>
    <w:rsid w:val="00624E4B"/>
    <w:rsid w:val="0062576A"/>
    <w:rsid w:val="006263B4"/>
    <w:rsid w:val="00626C16"/>
    <w:rsid w:val="00627EC6"/>
    <w:rsid w:val="00630B33"/>
    <w:rsid w:val="00635629"/>
    <w:rsid w:val="00636961"/>
    <w:rsid w:val="0064036E"/>
    <w:rsid w:val="00640665"/>
    <w:rsid w:val="006432F4"/>
    <w:rsid w:val="0065025F"/>
    <w:rsid w:val="0065063B"/>
    <w:rsid w:val="0065066E"/>
    <w:rsid w:val="006528B8"/>
    <w:rsid w:val="006532BB"/>
    <w:rsid w:val="006533D1"/>
    <w:rsid w:val="00662669"/>
    <w:rsid w:val="00662D7B"/>
    <w:rsid w:val="0066442C"/>
    <w:rsid w:val="0066525D"/>
    <w:rsid w:val="00670595"/>
    <w:rsid w:val="006724B4"/>
    <w:rsid w:val="00674238"/>
    <w:rsid w:val="00676826"/>
    <w:rsid w:val="00677BFF"/>
    <w:rsid w:val="00681F0C"/>
    <w:rsid w:val="0068305C"/>
    <w:rsid w:val="006857B3"/>
    <w:rsid w:val="00685AC6"/>
    <w:rsid w:val="00685DB2"/>
    <w:rsid w:val="006869E9"/>
    <w:rsid w:val="00691A51"/>
    <w:rsid w:val="00695F5C"/>
    <w:rsid w:val="006A01B3"/>
    <w:rsid w:val="006A2399"/>
    <w:rsid w:val="006A3276"/>
    <w:rsid w:val="006A454F"/>
    <w:rsid w:val="006A4FF1"/>
    <w:rsid w:val="006B137D"/>
    <w:rsid w:val="006B302A"/>
    <w:rsid w:val="006B5A48"/>
    <w:rsid w:val="006B7CBA"/>
    <w:rsid w:val="006C0AE2"/>
    <w:rsid w:val="006C0B0E"/>
    <w:rsid w:val="006C24E4"/>
    <w:rsid w:val="006C2924"/>
    <w:rsid w:val="006C4232"/>
    <w:rsid w:val="006C54ED"/>
    <w:rsid w:val="006D2963"/>
    <w:rsid w:val="006D391B"/>
    <w:rsid w:val="006D485E"/>
    <w:rsid w:val="006D4923"/>
    <w:rsid w:val="006D56FF"/>
    <w:rsid w:val="006D69F6"/>
    <w:rsid w:val="006D7FE1"/>
    <w:rsid w:val="006E0C07"/>
    <w:rsid w:val="006E7514"/>
    <w:rsid w:val="006F005C"/>
    <w:rsid w:val="006F1BC8"/>
    <w:rsid w:val="006F27A5"/>
    <w:rsid w:val="006F6D7E"/>
    <w:rsid w:val="006F7773"/>
    <w:rsid w:val="006F7D2C"/>
    <w:rsid w:val="00700877"/>
    <w:rsid w:val="00707BF4"/>
    <w:rsid w:val="00710FDC"/>
    <w:rsid w:val="00711087"/>
    <w:rsid w:val="00711337"/>
    <w:rsid w:val="00711C49"/>
    <w:rsid w:val="00714731"/>
    <w:rsid w:val="00714E2E"/>
    <w:rsid w:val="00714F75"/>
    <w:rsid w:val="00715679"/>
    <w:rsid w:val="00716EFD"/>
    <w:rsid w:val="00723639"/>
    <w:rsid w:val="007243DF"/>
    <w:rsid w:val="007255B0"/>
    <w:rsid w:val="00730B53"/>
    <w:rsid w:val="00730BEA"/>
    <w:rsid w:val="0073114F"/>
    <w:rsid w:val="00731507"/>
    <w:rsid w:val="007319A3"/>
    <w:rsid w:val="0073343E"/>
    <w:rsid w:val="00737082"/>
    <w:rsid w:val="00741F4C"/>
    <w:rsid w:val="00745F77"/>
    <w:rsid w:val="00751575"/>
    <w:rsid w:val="00752A41"/>
    <w:rsid w:val="00753B5F"/>
    <w:rsid w:val="00754034"/>
    <w:rsid w:val="00754434"/>
    <w:rsid w:val="00755BF0"/>
    <w:rsid w:val="007560D9"/>
    <w:rsid w:val="00756C6B"/>
    <w:rsid w:val="0076084E"/>
    <w:rsid w:val="00760FB3"/>
    <w:rsid w:val="007630ED"/>
    <w:rsid w:val="00763D48"/>
    <w:rsid w:val="007643DF"/>
    <w:rsid w:val="007646D6"/>
    <w:rsid w:val="00766DBF"/>
    <w:rsid w:val="007707B5"/>
    <w:rsid w:val="0077231F"/>
    <w:rsid w:val="0077585D"/>
    <w:rsid w:val="007801C6"/>
    <w:rsid w:val="00782093"/>
    <w:rsid w:val="00787753"/>
    <w:rsid w:val="00787FF9"/>
    <w:rsid w:val="007906B2"/>
    <w:rsid w:val="007907A9"/>
    <w:rsid w:val="0079111A"/>
    <w:rsid w:val="007912A4"/>
    <w:rsid w:val="00791ABB"/>
    <w:rsid w:val="00793083"/>
    <w:rsid w:val="00795CE4"/>
    <w:rsid w:val="00795E3E"/>
    <w:rsid w:val="00797254"/>
    <w:rsid w:val="007978F4"/>
    <w:rsid w:val="00797C10"/>
    <w:rsid w:val="007A29CA"/>
    <w:rsid w:val="007A3F59"/>
    <w:rsid w:val="007A40A5"/>
    <w:rsid w:val="007A46CB"/>
    <w:rsid w:val="007A4F32"/>
    <w:rsid w:val="007A5123"/>
    <w:rsid w:val="007A57DE"/>
    <w:rsid w:val="007A775F"/>
    <w:rsid w:val="007B52DA"/>
    <w:rsid w:val="007B5C58"/>
    <w:rsid w:val="007B606D"/>
    <w:rsid w:val="007C195A"/>
    <w:rsid w:val="007C22C0"/>
    <w:rsid w:val="007C4227"/>
    <w:rsid w:val="007C49FB"/>
    <w:rsid w:val="007C4F71"/>
    <w:rsid w:val="007C5341"/>
    <w:rsid w:val="007C5728"/>
    <w:rsid w:val="007C6A4A"/>
    <w:rsid w:val="007C7791"/>
    <w:rsid w:val="007D0055"/>
    <w:rsid w:val="007D017C"/>
    <w:rsid w:val="007D288E"/>
    <w:rsid w:val="007D621D"/>
    <w:rsid w:val="007D6568"/>
    <w:rsid w:val="007D7EAD"/>
    <w:rsid w:val="007E5AE8"/>
    <w:rsid w:val="007F08B4"/>
    <w:rsid w:val="007F2F43"/>
    <w:rsid w:val="007F3D4D"/>
    <w:rsid w:val="007F5D32"/>
    <w:rsid w:val="007F621E"/>
    <w:rsid w:val="007F6B3A"/>
    <w:rsid w:val="007F7318"/>
    <w:rsid w:val="00800788"/>
    <w:rsid w:val="00803322"/>
    <w:rsid w:val="00803D57"/>
    <w:rsid w:val="0080404F"/>
    <w:rsid w:val="0080429F"/>
    <w:rsid w:val="00813985"/>
    <w:rsid w:val="00813D21"/>
    <w:rsid w:val="00821D4A"/>
    <w:rsid w:val="00821F15"/>
    <w:rsid w:val="00822664"/>
    <w:rsid w:val="0082294F"/>
    <w:rsid w:val="00822F8C"/>
    <w:rsid w:val="00824DCB"/>
    <w:rsid w:val="0082509F"/>
    <w:rsid w:val="00833A03"/>
    <w:rsid w:val="00834A43"/>
    <w:rsid w:val="008364E9"/>
    <w:rsid w:val="00840AA8"/>
    <w:rsid w:val="00840B3E"/>
    <w:rsid w:val="0084159C"/>
    <w:rsid w:val="00843113"/>
    <w:rsid w:val="0084730D"/>
    <w:rsid w:val="00850261"/>
    <w:rsid w:val="00850986"/>
    <w:rsid w:val="00851DD2"/>
    <w:rsid w:val="00851FB3"/>
    <w:rsid w:val="00856C37"/>
    <w:rsid w:val="008614A0"/>
    <w:rsid w:val="00861850"/>
    <w:rsid w:val="008619E5"/>
    <w:rsid w:val="008673FE"/>
    <w:rsid w:val="00873C20"/>
    <w:rsid w:val="0087425F"/>
    <w:rsid w:val="0087464C"/>
    <w:rsid w:val="00874679"/>
    <w:rsid w:val="00876464"/>
    <w:rsid w:val="00881374"/>
    <w:rsid w:val="00881ADC"/>
    <w:rsid w:val="008836C9"/>
    <w:rsid w:val="00885115"/>
    <w:rsid w:val="0088637C"/>
    <w:rsid w:val="0088640D"/>
    <w:rsid w:val="00886A80"/>
    <w:rsid w:val="00886E32"/>
    <w:rsid w:val="00890DD9"/>
    <w:rsid w:val="00896233"/>
    <w:rsid w:val="008A1DDD"/>
    <w:rsid w:val="008A1F9B"/>
    <w:rsid w:val="008A5FAC"/>
    <w:rsid w:val="008A671F"/>
    <w:rsid w:val="008A7716"/>
    <w:rsid w:val="008A77DF"/>
    <w:rsid w:val="008B198C"/>
    <w:rsid w:val="008B2B0B"/>
    <w:rsid w:val="008B51B0"/>
    <w:rsid w:val="008B597C"/>
    <w:rsid w:val="008B5E27"/>
    <w:rsid w:val="008B6147"/>
    <w:rsid w:val="008B75F1"/>
    <w:rsid w:val="008C0A97"/>
    <w:rsid w:val="008C0CEB"/>
    <w:rsid w:val="008C27C3"/>
    <w:rsid w:val="008C3B2F"/>
    <w:rsid w:val="008C49C4"/>
    <w:rsid w:val="008C69DF"/>
    <w:rsid w:val="008C69E4"/>
    <w:rsid w:val="008C6B0A"/>
    <w:rsid w:val="008D1214"/>
    <w:rsid w:val="008D1A0F"/>
    <w:rsid w:val="008D1D53"/>
    <w:rsid w:val="008D2D0E"/>
    <w:rsid w:val="008D337D"/>
    <w:rsid w:val="008D42AF"/>
    <w:rsid w:val="008D55D5"/>
    <w:rsid w:val="008D722A"/>
    <w:rsid w:val="008E14D6"/>
    <w:rsid w:val="008E185D"/>
    <w:rsid w:val="008E1AF7"/>
    <w:rsid w:val="008E3424"/>
    <w:rsid w:val="008E6999"/>
    <w:rsid w:val="008F017F"/>
    <w:rsid w:val="008F2292"/>
    <w:rsid w:val="008F2F67"/>
    <w:rsid w:val="008F37FA"/>
    <w:rsid w:val="008F444E"/>
    <w:rsid w:val="008F44CB"/>
    <w:rsid w:val="008F4CB3"/>
    <w:rsid w:val="008F71E7"/>
    <w:rsid w:val="008F7D03"/>
    <w:rsid w:val="009004A3"/>
    <w:rsid w:val="00900E85"/>
    <w:rsid w:val="0090226B"/>
    <w:rsid w:val="00904C43"/>
    <w:rsid w:val="00904DBC"/>
    <w:rsid w:val="0090587E"/>
    <w:rsid w:val="0090752C"/>
    <w:rsid w:val="00907FB5"/>
    <w:rsid w:val="00907FE3"/>
    <w:rsid w:val="00910088"/>
    <w:rsid w:val="0091265E"/>
    <w:rsid w:val="009142DA"/>
    <w:rsid w:val="009148D6"/>
    <w:rsid w:val="00915AFC"/>
    <w:rsid w:val="0091600B"/>
    <w:rsid w:val="00916D33"/>
    <w:rsid w:val="00921FC4"/>
    <w:rsid w:val="009230B6"/>
    <w:rsid w:val="009232FF"/>
    <w:rsid w:val="009259B5"/>
    <w:rsid w:val="00925AEC"/>
    <w:rsid w:val="00931165"/>
    <w:rsid w:val="009312EF"/>
    <w:rsid w:val="00932AF0"/>
    <w:rsid w:val="009343B3"/>
    <w:rsid w:val="00934E93"/>
    <w:rsid w:val="009350AF"/>
    <w:rsid w:val="009353D7"/>
    <w:rsid w:val="009401C4"/>
    <w:rsid w:val="009416CA"/>
    <w:rsid w:val="00941DBD"/>
    <w:rsid w:val="009433B0"/>
    <w:rsid w:val="00943CEB"/>
    <w:rsid w:val="00947DE2"/>
    <w:rsid w:val="009505B0"/>
    <w:rsid w:val="009533E2"/>
    <w:rsid w:val="00955ADB"/>
    <w:rsid w:val="00962E18"/>
    <w:rsid w:val="009710E0"/>
    <w:rsid w:val="009716AF"/>
    <w:rsid w:val="00971C84"/>
    <w:rsid w:val="009722BC"/>
    <w:rsid w:val="0097298E"/>
    <w:rsid w:val="00974EFA"/>
    <w:rsid w:val="009777EE"/>
    <w:rsid w:val="00983BA5"/>
    <w:rsid w:val="00985679"/>
    <w:rsid w:val="00986B8F"/>
    <w:rsid w:val="00992988"/>
    <w:rsid w:val="00994A91"/>
    <w:rsid w:val="00995678"/>
    <w:rsid w:val="0099735D"/>
    <w:rsid w:val="009A1807"/>
    <w:rsid w:val="009A2180"/>
    <w:rsid w:val="009A28C8"/>
    <w:rsid w:val="009A3F9E"/>
    <w:rsid w:val="009A52DD"/>
    <w:rsid w:val="009A5E11"/>
    <w:rsid w:val="009A6682"/>
    <w:rsid w:val="009B1BE5"/>
    <w:rsid w:val="009B38B9"/>
    <w:rsid w:val="009B38DD"/>
    <w:rsid w:val="009B4041"/>
    <w:rsid w:val="009B4FA1"/>
    <w:rsid w:val="009C2BE5"/>
    <w:rsid w:val="009C4FC2"/>
    <w:rsid w:val="009C5B7D"/>
    <w:rsid w:val="009C67DC"/>
    <w:rsid w:val="009D10AC"/>
    <w:rsid w:val="009D1230"/>
    <w:rsid w:val="009D1396"/>
    <w:rsid w:val="009D25CB"/>
    <w:rsid w:val="009D6478"/>
    <w:rsid w:val="009D6507"/>
    <w:rsid w:val="009D69C2"/>
    <w:rsid w:val="009D6EB4"/>
    <w:rsid w:val="009D7486"/>
    <w:rsid w:val="009D7A77"/>
    <w:rsid w:val="009E0065"/>
    <w:rsid w:val="009E2689"/>
    <w:rsid w:val="009E44EA"/>
    <w:rsid w:val="009E5581"/>
    <w:rsid w:val="009E61A2"/>
    <w:rsid w:val="009E736C"/>
    <w:rsid w:val="009E7727"/>
    <w:rsid w:val="009F1392"/>
    <w:rsid w:val="009F2972"/>
    <w:rsid w:val="009F2FD8"/>
    <w:rsid w:val="009F30E6"/>
    <w:rsid w:val="009F6E7B"/>
    <w:rsid w:val="009F7311"/>
    <w:rsid w:val="00A030B3"/>
    <w:rsid w:val="00A03A53"/>
    <w:rsid w:val="00A04558"/>
    <w:rsid w:val="00A1005B"/>
    <w:rsid w:val="00A126F8"/>
    <w:rsid w:val="00A13F6A"/>
    <w:rsid w:val="00A142BC"/>
    <w:rsid w:val="00A171CD"/>
    <w:rsid w:val="00A17A38"/>
    <w:rsid w:val="00A21807"/>
    <w:rsid w:val="00A21916"/>
    <w:rsid w:val="00A22747"/>
    <w:rsid w:val="00A242D4"/>
    <w:rsid w:val="00A2752B"/>
    <w:rsid w:val="00A30720"/>
    <w:rsid w:val="00A351B8"/>
    <w:rsid w:val="00A357CF"/>
    <w:rsid w:val="00A359A2"/>
    <w:rsid w:val="00A36898"/>
    <w:rsid w:val="00A368BE"/>
    <w:rsid w:val="00A40656"/>
    <w:rsid w:val="00A442F4"/>
    <w:rsid w:val="00A46D18"/>
    <w:rsid w:val="00A5270F"/>
    <w:rsid w:val="00A604D6"/>
    <w:rsid w:val="00A63A3E"/>
    <w:rsid w:val="00A63CBA"/>
    <w:rsid w:val="00A642C4"/>
    <w:rsid w:val="00A652DA"/>
    <w:rsid w:val="00A653C8"/>
    <w:rsid w:val="00A7282B"/>
    <w:rsid w:val="00A759AF"/>
    <w:rsid w:val="00A80E18"/>
    <w:rsid w:val="00A81B7C"/>
    <w:rsid w:val="00A825A6"/>
    <w:rsid w:val="00A82D72"/>
    <w:rsid w:val="00A84548"/>
    <w:rsid w:val="00A86365"/>
    <w:rsid w:val="00A908B0"/>
    <w:rsid w:val="00A9252B"/>
    <w:rsid w:val="00A92EBE"/>
    <w:rsid w:val="00A9516B"/>
    <w:rsid w:val="00A95AEB"/>
    <w:rsid w:val="00A97627"/>
    <w:rsid w:val="00AA16ED"/>
    <w:rsid w:val="00AA2853"/>
    <w:rsid w:val="00AA36C7"/>
    <w:rsid w:val="00AA3E27"/>
    <w:rsid w:val="00AA4304"/>
    <w:rsid w:val="00AA495E"/>
    <w:rsid w:val="00AA6934"/>
    <w:rsid w:val="00AA6E9D"/>
    <w:rsid w:val="00AA779D"/>
    <w:rsid w:val="00AA7BA4"/>
    <w:rsid w:val="00AB0C2C"/>
    <w:rsid w:val="00AB1078"/>
    <w:rsid w:val="00AB1346"/>
    <w:rsid w:val="00AB26DB"/>
    <w:rsid w:val="00AC234E"/>
    <w:rsid w:val="00AC4838"/>
    <w:rsid w:val="00AC50C2"/>
    <w:rsid w:val="00AC5EF7"/>
    <w:rsid w:val="00AC6885"/>
    <w:rsid w:val="00AD02A2"/>
    <w:rsid w:val="00AD0813"/>
    <w:rsid w:val="00AD24EF"/>
    <w:rsid w:val="00AD4E5D"/>
    <w:rsid w:val="00AD5A93"/>
    <w:rsid w:val="00AD6178"/>
    <w:rsid w:val="00AE024C"/>
    <w:rsid w:val="00AE371D"/>
    <w:rsid w:val="00AE39AB"/>
    <w:rsid w:val="00AE584F"/>
    <w:rsid w:val="00AE63C3"/>
    <w:rsid w:val="00AE736A"/>
    <w:rsid w:val="00AE7CFC"/>
    <w:rsid w:val="00AF291F"/>
    <w:rsid w:val="00AF2FEE"/>
    <w:rsid w:val="00AF4129"/>
    <w:rsid w:val="00AF45C5"/>
    <w:rsid w:val="00AF6489"/>
    <w:rsid w:val="00AF7A9F"/>
    <w:rsid w:val="00B01D34"/>
    <w:rsid w:val="00B02F94"/>
    <w:rsid w:val="00B03609"/>
    <w:rsid w:val="00B03831"/>
    <w:rsid w:val="00B03DBB"/>
    <w:rsid w:val="00B04254"/>
    <w:rsid w:val="00B05449"/>
    <w:rsid w:val="00B05903"/>
    <w:rsid w:val="00B06150"/>
    <w:rsid w:val="00B06E17"/>
    <w:rsid w:val="00B07AE9"/>
    <w:rsid w:val="00B10648"/>
    <w:rsid w:val="00B116B8"/>
    <w:rsid w:val="00B12C04"/>
    <w:rsid w:val="00B15007"/>
    <w:rsid w:val="00B16DE7"/>
    <w:rsid w:val="00B179CD"/>
    <w:rsid w:val="00B21896"/>
    <w:rsid w:val="00B225D7"/>
    <w:rsid w:val="00B238D3"/>
    <w:rsid w:val="00B24177"/>
    <w:rsid w:val="00B24DA4"/>
    <w:rsid w:val="00B2612F"/>
    <w:rsid w:val="00B27BD7"/>
    <w:rsid w:val="00B30D05"/>
    <w:rsid w:val="00B327DB"/>
    <w:rsid w:val="00B357A3"/>
    <w:rsid w:val="00B40FDF"/>
    <w:rsid w:val="00B41871"/>
    <w:rsid w:val="00B4336F"/>
    <w:rsid w:val="00B435DE"/>
    <w:rsid w:val="00B4522D"/>
    <w:rsid w:val="00B457FA"/>
    <w:rsid w:val="00B4598F"/>
    <w:rsid w:val="00B46BF7"/>
    <w:rsid w:val="00B475D4"/>
    <w:rsid w:val="00B500A0"/>
    <w:rsid w:val="00B50E29"/>
    <w:rsid w:val="00B51E97"/>
    <w:rsid w:val="00B5215B"/>
    <w:rsid w:val="00B5327F"/>
    <w:rsid w:val="00B565FE"/>
    <w:rsid w:val="00B57C66"/>
    <w:rsid w:val="00B60458"/>
    <w:rsid w:val="00B61888"/>
    <w:rsid w:val="00B61DC3"/>
    <w:rsid w:val="00B633C4"/>
    <w:rsid w:val="00B67AEA"/>
    <w:rsid w:val="00B702BE"/>
    <w:rsid w:val="00B72C66"/>
    <w:rsid w:val="00B73C62"/>
    <w:rsid w:val="00B82043"/>
    <w:rsid w:val="00B83C32"/>
    <w:rsid w:val="00B85816"/>
    <w:rsid w:val="00B875C0"/>
    <w:rsid w:val="00B90608"/>
    <w:rsid w:val="00B9166F"/>
    <w:rsid w:val="00B920AD"/>
    <w:rsid w:val="00B94032"/>
    <w:rsid w:val="00B94C8E"/>
    <w:rsid w:val="00B966AC"/>
    <w:rsid w:val="00BA1064"/>
    <w:rsid w:val="00BA19B6"/>
    <w:rsid w:val="00BA3F2C"/>
    <w:rsid w:val="00BA485C"/>
    <w:rsid w:val="00BA48FC"/>
    <w:rsid w:val="00BA4C75"/>
    <w:rsid w:val="00BA5B51"/>
    <w:rsid w:val="00BA6979"/>
    <w:rsid w:val="00BA790D"/>
    <w:rsid w:val="00BA7BA2"/>
    <w:rsid w:val="00BB279B"/>
    <w:rsid w:val="00BB4323"/>
    <w:rsid w:val="00BB452C"/>
    <w:rsid w:val="00BB4532"/>
    <w:rsid w:val="00BB4A21"/>
    <w:rsid w:val="00BB5276"/>
    <w:rsid w:val="00BB5277"/>
    <w:rsid w:val="00BB650B"/>
    <w:rsid w:val="00BB6BFB"/>
    <w:rsid w:val="00BC1816"/>
    <w:rsid w:val="00BC488D"/>
    <w:rsid w:val="00BC58A4"/>
    <w:rsid w:val="00BC781E"/>
    <w:rsid w:val="00BD0C5A"/>
    <w:rsid w:val="00BD180A"/>
    <w:rsid w:val="00BD1973"/>
    <w:rsid w:val="00BD358F"/>
    <w:rsid w:val="00BD4809"/>
    <w:rsid w:val="00BD5E5C"/>
    <w:rsid w:val="00BD5F32"/>
    <w:rsid w:val="00BD774B"/>
    <w:rsid w:val="00BE437C"/>
    <w:rsid w:val="00BE5949"/>
    <w:rsid w:val="00BF0241"/>
    <w:rsid w:val="00BF3055"/>
    <w:rsid w:val="00BF3693"/>
    <w:rsid w:val="00BF3E3E"/>
    <w:rsid w:val="00C01D39"/>
    <w:rsid w:val="00C05C52"/>
    <w:rsid w:val="00C05E82"/>
    <w:rsid w:val="00C06C84"/>
    <w:rsid w:val="00C103CD"/>
    <w:rsid w:val="00C1253A"/>
    <w:rsid w:val="00C12544"/>
    <w:rsid w:val="00C12799"/>
    <w:rsid w:val="00C12FA8"/>
    <w:rsid w:val="00C134E6"/>
    <w:rsid w:val="00C152D0"/>
    <w:rsid w:val="00C213E5"/>
    <w:rsid w:val="00C2151E"/>
    <w:rsid w:val="00C2274F"/>
    <w:rsid w:val="00C23244"/>
    <w:rsid w:val="00C2376C"/>
    <w:rsid w:val="00C24CCA"/>
    <w:rsid w:val="00C25C9B"/>
    <w:rsid w:val="00C261AB"/>
    <w:rsid w:val="00C26417"/>
    <w:rsid w:val="00C26F81"/>
    <w:rsid w:val="00C32303"/>
    <w:rsid w:val="00C323FD"/>
    <w:rsid w:val="00C36220"/>
    <w:rsid w:val="00C362DF"/>
    <w:rsid w:val="00C42BB6"/>
    <w:rsid w:val="00C5050E"/>
    <w:rsid w:val="00C5077E"/>
    <w:rsid w:val="00C5169C"/>
    <w:rsid w:val="00C537C1"/>
    <w:rsid w:val="00C5650E"/>
    <w:rsid w:val="00C601D5"/>
    <w:rsid w:val="00C60DC9"/>
    <w:rsid w:val="00C623F7"/>
    <w:rsid w:val="00C62F10"/>
    <w:rsid w:val="00C63034"/>
    <w:rsid w:val="00C6413D"/>
    <w:rsid w:val="00C65ACA"/>
    <w:rsid w:val="00C65F14"/>
    <w:rsid w:val="00C66C45"/>
    <w:rsid w:val="00C67F24"/>
    <w:rsid w:val="00C716A7"/>
    <w:rsid w:val="00C73F67"/>
    <w:rsid w:val="00C75E74"/>
    <w:rsid w:val="00C77802"/>
    <w:rsid w:val="00C81801"/>
    <w:rsid w:val="00C81CBC"/>
    <w:rsid w:val="00C83130"/>
    <w:rsid w:val="00C85850"/>
    <w:rsid w:val="00C86011"/>
    <w:rsid w:val="00C8675F"/>
    <w:rsid w:val="00C91194"/>
    <w:rsid w:val="00C92B10"/>
    <w:rsid w:val="00C94724"/>
    <w:rsid w:val="00C953DF"/>
    <w:rsid w:val="00C966DF"/>
    <w:rsid w:val="00C97E68"/>
    <w:rsid w:val="00CA21BE"/>
    <w:rsid w:val="00CA27FF"/>
    <w:rsid w:val="00CA3413"/>
    <w:rsid w:val="00CA3DB6"/>
    <w:rsid w:val="00CA478F"/>
    <w:rsid w:val="00CA56B5"/>
    <w:rsid w:val="00CA5DFF"/>
    <w:rsid w:val="00CA7956"/>
    <w:rsid w:val="00CB3ACE"/>
    <w:rsid w:val="00CB670E"/>
    <w:rsid w:val="00CB677B"/>
    <w:rsid w:val="00CB6841"/>
    <w:rsid w:val="00CB6E94"/>
    <w:rsid w:val="00CB74DE"/>
    <w:rsid w:val="00CC0D30"/>
    <w:rsid w:val="00CC22FF"/>
    <w:rsid w:val="00CC6901"/>
    <w:rsid w:val="00CC7E4B"/>
    <w:rsid w:val="00CD0167"/>
    <w:rsid w:val="00CD078C"/>
    <w:rsid w:val="00CD27BA"/>
    <w:rsid w:val="00CD2C75"/>
    <w:rsid w:val="00CD5DE2"/>
    <w:rsid w:val="00CD65C9"/>
    <w:rsid w:val="00CD6C97"/>
    <w:rsid w:val="00CD7B18"/>
    <w:rsid w:val="00CE64D2"/>
    <w:rsid w:val="00CF055B"/>
    <w:rsid w:val="00CF2864"/>
    <w:rsid w:val="00CF47F7"/>
    <w:rsid w:val="00CF53AC"/>
    <w:rsid w:val="00D009BB"/>
    <w:rsid w:val="00D0546B"/>
    <w:rsid w:val="00D11D6B"/>
    <w:rsid w:val="00D12B9D"/>
    <w:rsid w:val="00D135A1"/>
    <w:rsid w:val="00D137BA"/>
    <w:rsid w:val="00D14282"/>
    <w:rsid w:val="00D144D7"/>
    <w:rsid w:val="00D20604"/>
    <w:rsid w:val="00D21EB2"/>
    <w:rsid w:val="00D22B47"/>
    <w:rsid w:val="00D243D9"/>
    <w:rsid w:val="00D24484"/>
    <w:rsid w:val="00D26DA3"/>
    <w:rsid w:val="00D320AF"/>
    <w:rsid w:val="00D32226"/>
    <w:rsid w:val="00D3542F"/>
    <w:rsid w:val="00D35DBF"/>
    <w:rsid w:val="00D35FDD"/>
    <w:rsid w:val="00D37314"/>
    <w:rsid w:val="00D3784D"/>
    <w:rsid w:val="00D4173E"/>
    <w:rsid w:val="00D41B42"/>
    <w:rsid w:val="00D41C70"/>
    <w:rsid w:val="00D42027"/>
    <w:rsid w:val="00D43876"/>
    <w:rsid w:val="00D43F36"/>
    <w:rsid w:val="00D4436B"/>
    <w:rsid w:val="00D44ADF"/>
    <w:rsid w:val="00D469C2"/>
    <w:rsid w:val="00D46DD3"/>
    <w:rsid w:val="00D4720E"/>
    <w:rsid w:val="00D50F9A"/>
    <w:rsid w:val="00D52242"/>
    <w:rsid w:val="00D54CBA"/>
    <w:rsid w:val="00D60E7B"/>
    <w:rsid w:val="00D61BD2"/>
    <w:rsid w:val="00D63D15"/>
    <w:rsid w:val="00D6701F"/>
    <w:rsid w:val="00D700E9"/>
    <w:rsid w:val="00D70C0A"/>
    <w:rsid w:val="00D70E57"/>
    <w:rsid w:val="00D710A9"/>
    <w:rsid w:val="00D72AC8"/>
    <w:rsid w:val="00D74E19"/>
    <w:rsid w:val="00D7524C"/>
    <w:rsid w:val="00D76F95"/>
    <w:rsid w:val="00D771EC"/>
    <w:rsid w:val="00D77551"/>
    <w:rsid w:val="00D80D27"/>
    <w:rsid w:val="00D818DD"/>
    <w:rsid w:val="00D845E8"/>
    <w:rsid w:val="00D86845"/>
    <w:rsid w:val="00D870B0"/>
    <w:rsid w:val="00D8769F"/>
    <w:rsid w:val="00D87B3C"/>
    <w:rsid w:val="00D91AA6"/>
    <w:rsid w:val="00D931E2"/>
    <w:rsid w:val="00D97119"/>
    <w:rsid w:val="00D97E9E"/>
    <w:rsid w:val="00DA1876"/>
    <w:rsid w:val="00DA6A34"/>
    <w:rsid w:val="00DA76FF"/>
    <w:rsid w:val="00DA7DD8"/>
    <w:rsid w:val="00DB118B"/>
    <w:rsid w:val="00DB201F"/>
    <w:rsid w:val="00DB5E21"/>
    <w:rsid w:val="00DB6033"/>
    <w:rsid w:val="00DC44D1"/>
    <w:rsid w:val="00DC7E3B"/>
    <w:rsid w:val="00DD2172"/>
    <w:rsid w:val="00DD34C6"/>
    <w:rsid w:val="00DD4A5B"/>
    <w:rsid w:val="00DD67D4"/>
    <w:rsid w:val="00DD6EF5"/>
    <w:rsid w:val="00DD7405"/>
    <w:rsid w:val="00DE5AF6"/>
    <w:rsid w:val="00DE7267"/>
    <w:rsid w:val="00DF0FAE"/>
    <w:rsid w:val="00DF1835"/>
    <w:rsid w:val="00DF232C"/>
    <w:rsid w:val="00DF3827"/>
    <w:rsid w:val="00DF4EF0"/>
    <w:rsid w:val="00DF55D2"/>
    <w:rsid w:val="00E001C4"/>
    <w:rsid w:val="00E00245"/>
    <w:rsid w:val="00E030A0"/>
    <w:rsid w:val="00E03483"/>
    <w:rsid w:val="00E04792"/>
    <w:rsid w:val="00E05C21"/>
    <w:rsid w:val="00E0728A"/>
    <w:rsid w:val="00E07812"/>
    <w:rsid w:val="00E10E4C"/>
    <w:rsid w:val="00E130A4"/>
    <w:rsid w:val="00E14859"/>
    <w:rsid w:val="00E15262"/>
    <w:rsid w:val="00E164B1"/>
    <w:rsid w:val="00E16B3D"/>
    <w:rsid w:val="00E17513"/>
    <w:rsid w:val="00E176AA"/>
    <w:rsid w:val="00E20385"/>
    <w:rsid w:val="00E23638"/>
    <w:rsid w:val="00E24211"/>
    <w:rsid w:val="00E25058"/>
    <w:rsid w:val="00E250F3"/>
    <w:rsid w:val="00E27CA3"/>
    <w:rsid w:val="00E314D7"/>
    <w:rsid w:val="00E3175A"/>
    <w:rsid w:val="00E34192"/>
    <w:rsid w:val="00E36E77"/>
    <w:rsid w:val="00E37062"/>
    <w:rsid w:val="00E4046A"/>
    <w:rsid w:val="00E41148"/>
    <w:rsid w:val="00E41524"/>
    <w:rsid w:val="00E4217E"/>
    <w:rsid w:val="00E42471"/>
    <w:rsid w:val="00E425C8"/>
    <w:rsid w:val="00E46EF8"/>
    <w:rsid w:val="00E512A9"/>
    <w:rsid w:val="00E52F6B"/>
    <w:rsid w:val="00E57D8C"/>
    <w:rsid w:val="00E60871"/>
    <w:rsid w:val="00E62907"/>
    <w:rsid w:val="00E64374"/>
    <w:rsid w:val="00E66AB7"/>
    <w:rsid w:val="00E676A4"/>
    <w:rsid w:val="00E701DC"/>
    <w:rsid w:val="00E710E9"/>
    <w:rsid w:val="00E71856"/>
    <w:rsid w:val="00E727FE"/>
    <w:rsid w:val="00E73734"/>
    <w:rsid w:val="00E740E0"/>
    <w:rsid w:val="00E742E3"/>
    <w:rsid w:val="00E756ED"/>
    <w:rsid w:val="00E7633B"/>
    <w:rsid w:val="00E80144"/>
    <w:rsid w:val="00E9041A"/>
    <w:rsid w:val="00E924DA"/>
    <w:rsid w:val="00E92E17"/>
    <w:rsid w:val="00E933DA"/>
    <w:rsid w:val="00E938A8"/>
    <w:rsid w:val="00E95E1D"/>
    <w:rsid w:val="00E966B5"/>
    <w:rsid w:val="00EA0A9A"/>
    <w:rsid w:val="00EA0EC2"/>
    <w:rsid w:val="00EA3CD4"/>
    <w:rsid w:val="00EA5D02"/>
    <w:rsid w:val="00EA63B3"/>
    <w:rsid w:val="00EB12B2"/>
    <w:rsid w:val="00EB2718"/>
    <w:rsid w:val="00EB2B3E"/>
    <w:rsid w:val="00EB3463"/>
    <w:rsid w:val="00EB39FF"/>
    <w:rsid w:val="00EB5721"/>
    <w:rsid w:val="00EB5991"/>
    <w:rsid w:val="00EB6278"/>
    <w:rsid w:val="00EC0C97"/>
    <w:rsid w:val="00EC1BED"/>
    <w:rsid w:val="00EC2467"/>
    <w:rsid w:val="00EC37EB"/>
    <w:rsid w:val="00EC4DA1"/>
    <w:rsid w:val="00EC51EF"/>
    <w:rsid w:val="00EC737F"/>
    <w:rsid w:val="00ED01B4"/>
    <w:rsid w:val="00ED188F"/>
    <w:rsid w:val="00ED3A14"/>
    <w:rsid w:val="00ED3F32"/>
    <w:rsid w:val="00ED4562"/>
    <w:rsid w:val="00ED5294"/>
    <w:rsid w:val="00ED546B"/>
    <w:rsid w:val="00ED608D"/>
    <w:rsid w:val="00ED628B"/>
    <w:rsid w:val="00ED7E54"/>
    <w:rsid w:val="00EE106C"/>
    <w:rsid w:val="00EE1F38"/>
    <w:rsid w:val="00EE2482"/>
    <w:rsid w:val="00EE32BD"/>
    <w:rsid w:val="00EE45D1"/>
    <w:rsid w:val="00EF0372"/>
    <w:rsid w:val="00EF1A7E"/>
    <w:rsid w:val="00EF1CBE"/>
    <w:rsid w:val="00EF3CDD"/>
    <w:rsid w:val="00EF45CE"/>
    <w:rsid w:val="00EF52E6"/>
    <w:rsid w:val="00EF566E"/>
    <w:rsid w:val="00EF7497"/>
    <w:rsid w:val="00F00F8B"/>
    <w:rsid w:val="00F01049"/>
    <w:rsid w:val="00F0241B"/>
    <w:rsid w:val="00F0310F"/>
    <w:rsid w:val="00F036E6"/>
    <w:rsid w:val="00F06F61"/>
    <w:rsid w:val="00F1040B"/>
    <w:rsid w:val="00F12464"/>
    <w:rsid w:val="00F14957"/>
    <w:rsid w:val="00F15D6B"/>
    <w:rsid w:val="00F17DB9"/>
    <w:rsid w:val="00F207A5"/>
    <w:rsid w:val="00F20FA8"/>
    <w:rsid w:val="00F2684D"/>
    <w:rsid w:val="00F26C14"/>
    <w:rsid w:val="00F30AAD"/>
    <w:rsid w:val="00F32E6D"/>
    <w:rsid w:val="00F3334D"/>
    <w:rsid w:val="00F35417"/>
    <w:rsid w:val="00F41266"/>
    <w:rsid w:val="00F41A32"/>
    <w:rsid w:val="00F434F1"/>
    <w:rsid w:val="00F43EF7"/>
    <w:rsid w:val="00F44F96"/>
    <w:rsid w:val="00F46A91"/>
    <w:rsid w:val="00F476C8"/>
    <w:rsid w:val="00F507CC"/>
    <w:rsid w:val="00F5176C"/>
    <w:rsid w:val="00F51E56"/>
    <w:rsid w:val="00F54722"/>
    <w:rsid w:val="00F550A8"/>
    <w:rsid w:val="00F56C9F"/>
    <w:rsid w:val="00F56E6A"/>
    <w:rsid w:val="00F60841"/>
    <w:rsid w:val="00F63553"/>
    <w:rsid w:val="00F6527E"/>
    <w:rsid w:val="00F655F3"/>
    <w:rsid w:val="00F65D8D"/>
    <w:rsid w:val="00F6723F"/>
    <w:rsid w:val="00F6731F"/>
    <w:rsid w:val="00F676A6"/>
    <w:rsid w:val="00F67B1A"/>
    <w:rsid w:val="00F73122"/>
    <w:rsid w:val="00F73D87"/>
    <w:rsid w:val="00F744A3"/>
    <w:rsid w:val="00F74508"/>
    <w:rsid w:val="00F74834"/>
    <w:rsid w:val="00F75679"/>
    <w:rsid w:val="00F76605"/>
    <w:rsid w:val="00F77EAF"/>
    <w:rsid w:val="00F810FD"/>
    <w:rsid w:val="00F81DDB"/>
    <w:rsid w:val="00F822FA"/>
    <w:rsid w:val="00F8327A"/>
    <w:rsid w:val="00F9005F"/>
    <w:rsid w:val="00F905CA"/>
    <w:rsid w:val="00F90D04"/>
    <w:rsid w:val="00F92C22"/>
    <w:rsid w:val="00F92ED4"/>
    <w:rsid w:val="00F93466"/>
    <w:rsid w:val="00F968D0"/>
    <w:rsid w:val="00FA0372"/>
    <w:rsid w:val="00FA097E"/>
    <w:rsid w:val="00FA393F"/>
    <w:rsid w:val="00FA3DB1"/>
    <w:rsid w:val="00FA539F"/>
    <w:rsid w:val="00FA5B7C"/>
    <w:rsid w:val="00FA5EFA"/>
    <w:rsid w:val="00FA6B4A"/>
    <w:rsid w:val="00FA7BE9"/>
    <w:rsid w:val="00FB1A1C"/>
    <w:rsid w:val="00FB32E7"/>
    <w:rsid w:val="00FB5ADA"/>
    <w:rsid w:val="00FC0A61"/>
    <w:rsid w:val="00FC3BE8"/>
    <w:rsid w:val="00FC4364"/>
    <w:rsid w:val="00FC5E7F"/>
    <w:rsid w:val="00FC7F46"/>
    <w:rsid w:val="00FD7D46"/>
    <w:rsid w:val="00FF4CF3"/>
    <w:rsid w:val="00FF537D"/>
    <w:rsid w:val="00FF55C1"/>
    <w:rsid w:val="01274F14"/>
    <w:rsid w:val="01303A9E"/>
    <w:rsid w:val="01371C15"/>
    <w:rsid w:val="01383FD0"/>
    <w:rsid w:val="01451617"/>
    <w:rsid w:val="0190158D"/>
    <w:rsid w:val="01B10594"/>
    <w:rsid w:val="01B77047"/>
    <w:rsid w:val="01D47292"/>
    <w:rsid w:val="0203063D"/>
    <w:rsid w:val="02043122"/>
    <w:rsid w:val="02055635"/>
    <w:rsid w:val="021D14BB"/>
    <w:rsid w:val="02346456"/>
    <w:rsid w:val="024E269D"/>
    <w:rsid w:val="02685279"/>
    <w:rsid w:val="026C4FD1"/>
    <w:rsid w:val="02916327"/>
    <w:rsid w:val="029F57DD"/>
    <w:rsid w:val="02BA4887"/>
    <w:rsid w:val="02D2459A"/>
    <w:rsid w:val="02D738A3"/>
    <w:rsid w:val="02EB37DD"/>
    <w:rsid w:val="03093CAB"/>
    <w:rsid w:val="034464B8"/>
    <w:rsid w:val="036576B8"/>
    <w:rsid w:val="039B3411"/>
    <w:rsid w:val="03C1157F"/>
    <w:rsid w:val="03C71EFB"/>
    <w:rsid w:val="03CB3B35"/>
    <w:rsid w:val="03D01F77"/>
    <w:rsid w:val="03D735B0"/>
    <w:rsid w:val="03FA6CDF"/>
    <w:rsid w:val="04365FFA"/>
    <w:rsid w:val="04494A43"/>
    <w:rsid w:val="046C0356"/>
    <w:rsid w:val="046D244C"/>
    <w:rsid w:val="046F1BE2"/>
    <w:rsid w:val="04822D08"/>
    <w:rsid w:val="04B74E45"/>
    <w:rsid w:val="04C851F1"/>
    <w:rsid w:val="04DA0A29"/>
    <w:rsid w:val="04FB048C"/>
    <w:rsid w:val="05140AB9"/>
    <w:rsid w:val="052C29BF"/>
    <w:rsid w:val="05337A63"/>
    <w:rsid w:val="055C5785"/>
    <w:rsid w:val="05994427"/>
    <w:rsid w:val="05BD5BD1"/>
    <w:rsid w:val="05CF395D"/>
    <w:rsid w:val="05F06637"/>
    <w:rsid w:val="0605445A"/>
    <w:rsid w:val="06517EE9"/>
    <w:rsid w:val="06672355"/>
    <w:rsid w:val="06BE41E6"/>
    <w:rsid w:val="06C55EEB"/>
    <w:rsid w:val="07004918"/>
    <w:rsid w:val="070B6221"/>
    <w:rsid w:val="070C0852"/>
    <w:rsid w:val="073D5377"/>
    <w:rsid w:val="075E2DBC"/>
    <w:rsid w:val="07654B87"/>
    <w:rsid w:val="07BA720E"/>
    <w:rsid w:val="07CB7156"/>
    <w:rsid w:val="07DD2CBE"/>
    <w:rsid w:val="07E13B30"/>
    <w:rsid w:val="07EE2CA7"/>
    <w:rsid w:val="080C3671"/>
    <w:rsid w:val="081F2D4C"/>
    <w:rsid w:val="084E2ACF"/>
    <w:rsid w:val="084F19C0"/>
    <w:rsid w:val="08635040"/>
    <w:rsid w:val="08B2562B"/>
    <w:rsid w:val="08B5584D"/>
    <w:rsid w:val="08DC3FD5"/>
    <w:rsid w:val="08EA502F"/>
    <w:rsid w:val="09190838"/>
    <w:rsid w:val="09274740"/>
    <w:rsid w:val="095C7B83"/>
    <w:rsid w:val="098F731B"/>
    <w:rsid w:val="0996625D"/>
    <w:rsid w:val="09DE2A70"/>
    <w:rsid w:val="0A1F4EA7"/>
    <w:rsid w:val="0A6872D6"/>
    <w:rsid w:val="0ABF0DA2"/>
    <w:rsid w:val="0ACE0B6C"/>
    <w:rsid w:val="0AE57F7F"/>
    <w:rsid w:val="0AEE6792"/>
    <w:rsid w:val="0BE64801"/>
    <w:rsid w:val="0C413A10"/>
    <w:rsid w:val="0C7965AF"/>
    <w:rsid w:val="0C8E3524"/>
    <w:rsid w:val="0C95751F"/>
    <w:rsid w:val="0CAF6938"/>
    <w:rsid w:val="0CD6654D"/>
    <w:rsid w:val="0CDA3C0B"/>
    <w:rsid w:val="0CE85B65"/>
    <w:rsid w:val="0D540907"/>
    <w:rsid w:val="0D63355E"/>
    <w:rsid w:val="0D6402AD"/>
    <w:rsid w:val="0D6E00F5"/>
    <w:rsid w:val="0D74780D"/>
    <w:rsid w:val="0D7F6C2B"/>
    <w:rsid w:val="0DDE1633"/>
    <w:rsid w:val="0DE27351"/>
    <w:rsid w:val="0E133FA6"/>
    <w:rsid w:val="0E195228"/>
    <w:rsid w:val="0E2217A8"/>
    <w:rsid w:val="0E5869D1"/>
    <w:rsid w:val="0E925E78"/>
    <w:rsid w:val="0E9F7BFE"/>
    <w:rsid w:val="0EA20C5D"/>
    <w:rsid w:val="0EA54211"/>
    <w:rsid w:val="0EB36468"/>
    <w:rsid w:val="0EDB759D"/>
    <w:rsid w:val="0EF445E2"/>
    <w:rsid w:val="0F361774"/>
    <w:rsid w:val="0F3B7D92"/>
    <w:rsid w:val="0F66630C"/>
    <w:rsid w:val="0FA100B6"/>
    <w:rsid w:val="0FCB5DCA"/>
    <w:rsid w:val="0FF10449"/>
    <w:rsid w:val="10485433"/>
    <w:rsid w:val="104C2911"/>
    <w:rsid w:val="107B6F12"/>
    <w:rsid w:val="1117568C"/>
    <w:rsid w:val="11536B10"/>
    <w:rsid w:val="11604A5C"/>
    <w:rsid w:val="1176169D"/>
    <w:rsid w:val="117C68E7"/>
    <w:rsid w:val="117F775D"/>
    <w:rsid w:val="118263A1"/>
    <w:rsid w:val="119603EC"/>
    <w:rsid w:val="11A331FA"/>
    <w:rsid w:val="11FD780F"/>
    <w:rsid w:val="120038A1"/>
    <w:rsid w:val="124D4083"/>
    <w:rsid w:val="12701BF6"/>
    <w:rsid w:val="1290435F"/>
    <w:rsid w:val="12DE47E6"/>
    <w:rsid w:val="12E50430"/>
    <w:rsid w:val="12F639E2"/>
    <w:rsid w:val="130855B9"/>
    <w:rsid w:val="133612ED"/>
    <w:rsid w:val="133D1517"/>
    <w:rsid w:val="136532E8"/>
    <w:rsid w:val="139C09D1"/>
    <w:rsid w:val="13AF6952"/>
    <w:rsid w:val="13CC1FE7"/>
    <w:rsid w:val="13D21B4C"/>
    <w:rsid w:val="14C02D74"/>
    <w:rsid w:val="14D251DA"/>
    <w:rsid w:val="14DD340D"/>
    <w:rsid w:val="14E05FAD"/>
    <w:rsid w:val="152764B7"/>
    <w:rsid w:val="153F673C"/>
    <w:rsid w:val="155913AC"/>
    <w:rsid w:val="156001F5"/>
    <w:rsid w:val="157E7401"/>
    <w:rsid w:val="1614567C"/>
    <w:rsid w:val="16271ECD"/>
    <w:rsid w:val="16A76302"/>
    <w:rsid w:val="16C521B5"/>
    <w:rsid w:val="16F3593D"/>
    <w:rsid w:val="16F60411"/>
    <w:rsid w:val="16FB18E9"/>
    <w:rsid w:val="172C0E92"/>
    <w:rsid w:val="173A3666"/>
    <w:rsid w:val="17405D8B"/>
    <w:rsid w:val="17482177"/>
    <w:rsid w:val="17870C00"/>
    <w:rsid w:val="17A1192C"/>
    <w:rsid w:val="17DF684D"/>
    <w:rsid w:val="17F31E94"/>
    <w:rsid w:val="181736F0"/>
    <w:rsid w:val="18301873"/>
    <w:rsid w:val="185D59F5"/>
    <w:rsid w:val="18652B97"/>
    <w:rsid w:val="18D24826"/>
    <w:rsid w:val="190E2A9B"/>
    <w:rsid w:val="191E31F8"/>
    <w:rsid w:val="1930763A"/>
    <w:rsid w:val="193564B7"/>
    <w:rsid w:val="195902EB"/>
    <w:rsid w:val="198F35F7"/>
    <w:rsid w:val="199667D2"/>
    <w:rsid w:val="19A61286"/>
    <w:rsid w:val="19C63AD7"/>
    <w:rsid w:val="19E94399"/>
    <w:rsid w:val="19EC5D5F"/>
    <w:rsid w:val="19EF6331"/>
    <w:rsid w:val="1A0D5537"/>
    <w:rsid w:val="1A270BAD"/>
    <w:rsid w:val="1A3D7707"/>
    <w:rsid w:val="1A7868CC"/>
    <w:rsid w:val="1AA40BC5"/>
    <w:rsid w:val="1AA52927"/>
    <w:rsid w:val="1AAF732F"/>
    <w:rsid w:val="1AFC093E"/>
    <w:rsid w:val="1B751D18"/>
    <w:rsid w:val="1B837689"/>
    <w:rsid w:val="1BA35581"/>
    <w:rsid w:val="1BBC1B6B"/>
    <w:rsid w:val="1BC27D98"/>
    <w:rsid w:val="1BE54206"/>
    <w:rsid w:val="1C1224F7"/>
    <w:rsid w:val="1C215860"/>
    <w:rsid w:val="1C3B088A"/>
    <w:rsid w:val="1C841734"/>
    <w:rsid w:val="1CBB088F"/>
    <w:rsid w:val="1CD120FF"/>
    <w:rsid w:val="1CDC4D20"/>
    <w:rsid w:val="1CDF6B41"/>
    <w:rsid w:val="1D2C2003"/>
    <w:rsid w:val="1D2F3F5E"/>
    <w:rsid w:val="1D52110B"/>
    <w:rsid w:val="1D6920D8"/>
    <w:rsid w:val="1D955C17"/>
    <w:rsid w:val="1DC50F72"/>
    <w:rsid w:val="1DD22C2E"/>
    <w:rsid w:val="1DF127C5"/>
    <w:rsid w:val="1EA43D4B"/>
    <w:rsid w:val="1EB55847"/>
    <w:rsid w:val="1ECB6CF3"/>
    <w:rsid w:val="1ED63936"/>
    <w:rsid w:val="1ED8671A"/>
    <w:rsid w:val="1EE82E44"/>
    <w:rsid w:val="1F095BCD"/>
    <w:rsid w:val="1F324176"/>
    <w:rsid w:val="1F3839D1"/>
    <w:rsid w:val="1FB35C2A"/>
    <w:rsid w:val="1FB7392F"/>
    <w:rsid w:val="1FC843CF"/>
    <w:rsid w:val="1FDB0E74"/>
    <w:rsid w:val="200A7C06"/>
    <w:rsid w:val="20143EA9"/>
    <w:rsid w:val="20443B05"/>
    <w:rsid w:val="20497839"/>
    <w:rsid w:val="205325C3"/>
    <w:rsid w:val="20540405"/>
    <w:rsid w:val="20AB7349"/>
    <w:rsid w:val="20B11C5C"/>
    <w:rsid w:val="20BE2EDB"/>
    <w:rsid w:val="20DC1B4D"/>
    <w:rsid w:val="20E75FEA"/>
    <w:rsid w:val="21386BBD"/>
    <w:rsid w:val="219A49A8"/>
    <w:rsid w:val="21BE7C5E"/>
    <w:rsid w:val="21CA74E9"/>
    <w:rsid w:val="21DE261D"/>
    <w:rsid w:val="21E54A6A"/>
    <w:rsid w:val="21EC2BAB"/>
    <w:rsid w:val="21F22C88"/>
    <w:rsid w:val="22050A5A"/>
    <w:rsid w:val="221F410B"/>
    <w:rsid w:val="223F0805"/>
    <w:rsid w:val="227B1864"/>
    <w:rsid w:val="22A60EB5"/>
    <w:rsid w:val="22AD47A1"/>
    <w:rsid w:val="22D23494"/>
    <w:rsid w:val="22D81D21"/>
    <w:rsid w:val="230F0A4B"/>
    <w:rsid w:val="2316369E"/>
    <w:rsid w:val="23165F69"/>
    <w:rsid w:val="238263F4"/>
    <w:rsid w:val="23A7421A"/>
    <w:rsid w:val="23AF4937"/>
    <w:rsid w:val="24011960"/>
    <w:rsid w:val="2403579C"/>
    <w:rsid w:val="24054A11"/>
    <w:rsid w:val="241137D9"/>
    <w:rsid w:val="241F2D91"/>
    <w:rsid w:val="24213779"/>
    <w:rsid w:val="243004B4"/>
    <w:rsid w:val="245A05CA"/>
    <w:rsid w:val="24B66F7B"/>
    <w:rsid w:val="24B95CB1"/>
    <w:rsid w:val="25101C98"/>
    <w:rsid w:val="25197286"/>
    <w:rsid w:val="25333CE6"/>
    <w:rsid w:val="253759E6"/>
    <w:rsid w:val="2549427F"/>
    <w:rsid w:val="25971BFA"/>
    <w:rsid w:val="25974A42"/>
    <w:rsid w:val="25E037D0"/>
    <w:rsid w:val="25E21071"/>
    <w:rsid w:val="25F20E6F"/>
    <w:rsid w:val="262808E1"/>
    <w:rsid w:val="26767663"/>
    <w:rsid w:val="267D5E31"/>
    <w:rsid w:val="268C368D"/>
    <w:rsid w:val="26B92AA7"/>
    <w:rsid w:val="26C84F0B"/>
    <w:rsid w:val="26EE1123"/>
    <w:rsid w:val="27251824"/>
    <w:rsid w:val="2734087F"/>
    <w:rsid w:val="273F2C97"/>
    <w:rsid w:val="27577C63"/>
    <w:rsid w:val="276A2C01"/>
    <w:rsid w:val="276F2C9F"/>
    <w:rsid w:val="277F4EC2"/>
    <w:rsid w:val="279F2C36"/>
    <w:rsid w:val="280765CC"/>
    <w:rsid w:val="28453812"/>
    <w:rsid w:val="28B270ED"/>
    <w:rsid w:val="28EC1885"/>
    <w:rsid w:val="29056374"/>
    <w:rsid w:val="29212C84"/>
    <w:rsid w:val="2933177B"/>
    <w:rsid w:val="2974095E"/>
    <w:rsid w:val="297A4E27"/>
    <w:rsid w:val="2990151A"/>
    <w:rsid w:val="29927401"/>
    <w:rsid w:val="299B6946"/>
    <w:rsid w:val="29B72D5D"/>
    <w:rsid w:val="29C04EC5"/>
    <w:rsid w:val="29D04E30"/>
    <w:rsid w:val="29D05C89"/>
    <w:rsid w:val="29DE1E4D"/>
    <w:rsid w:val="29E45A39"/>
    <w:rsid w:val="29F8414A"/>
    <w:rsid w:val="2A0A7696"/>
    <w:rsid w:val="2A0D0F0C"/>
    <w:rsid w:val="2A176C00"/>
    <w:rsid w:val="2A6B1D80"/>
    <w:rsid w:val="2A9152D8"/>
    <w:rsid w:val="2A9361B7"/>
    <w:rsid w:val="2ABE485F"/>
    <w:rsid w:val="2ADB6EB7"/>
    <w:rsid w:val="2AF63BC4"/>
    <w:rsid w:val="2AFB54C5"/>
    <w:rsid w:val="2B055F8A"/>
    <w:rsid w:val="2B0C03A4"/>
    <w:rsid w:val="2B200651"/>
    <w:rsid w:val="2B366A9C"/>
    <w:rsid w:val="2B3841A3"/>
    <w:rsid w:val="2B5533FF"/>
    <w:rsid w:val="2B6F658C"/>
    <w:rsid w:val="2B984EBF"/>
    <w:rsid w:val="2C24329E"/>
    <w:rsid w:val="2C4D32D2"/>
    <w:rsid w:val="2C757456"/>
    <w:rsid w:val="2D2C14B2"/>
    <w:rsid w:val="2D511017"/>
    <w:rsid w:val="2D6A2633"/>
    <w:rsid w:val="2DA67B66"/>
    <w:rsid w:val="2DF53CD5"/>
    <w:rsid w:val="2DFD7CDE"/>
    <w:rsid w:val="2E081BC5"/>
    <w:rsid w:val="2E4F1AC3"/>
    <w:rsid w:val="2E630CFC"/>
    <w:rsid w:val="2E8818C4"/>
    <w:rsid w:val="2E922D73"/>
    <w:rsid w:val="2EBA1864"/>
    <w:rsid w:val="2EF22E53"/>
    <w:rsid w:val="2F0A6734"/>
    <w:rsid w:val="2F3D79D9"/>
    <w:rsid w:val="2F4219B8"/>
    <w:rsid w:val="2F520F27"/>
    <w:rsid w:val="2FA37B1F"/>
    <w:rsid w:val="2FC36919"/>
    <w:rsid w:val="2FC935F5"/>
    <w:rsid w:val="2FF015B7"/>
    <w:rsid w:val="30007053"/>
    <w:rsid w:val="3019494D"/>
    <w:rsid w:val="302F5F5A"/>
    <w:rsid w:val="305C6B22"/>
    <w:rsid w:val="30D50139"/>
    <w:rsid w:val="30DC39E3"/>
    <w:rsid w:val="30E74DA6"/>
    <w:rsid w:val="30EC34E0"/>
    <w:rsid w:val="31034DAD"/>
    <w:rsid w:val="310569C5"/>
    <w:rsid w:val="31073E1B"/>
    <w:rsid w:val="31172A76"/>
    <w:rsid w:val="313B4967"/>
    <w:rsid w:val="31687C82"/>
    <w:rsid w:val="31711248"/>
    <w:rsid w:val="31841167"/>
    <w:rsid w:val="31962F66"/>
    <w:rsid w:val="31CA7A2C"/>
    <w:rsid w:val="321B3FBC"/>
    <w:rsid w:val="32484C4E"/>
    <w:rsid w:val="32605D06"/>
    <w:rsid w:val="3268669D"/>
    <w:rsid w:val="327B4598"/>
    <w:rsid w:val="32D22945"/>
    <w:rsid w:val="32E90B44"/>
    <w:rsid w:val="332D5B09"/>
    <w:rsid w:val="334F183A"/>
    <w:rsid w:val="337136CD"/>
    <w:rsid w:val="33A43C30"/>
    <w:rsid w:val="33CE2C57"/>
    <w:rsid w:val="33DE6B77"/>
    <w:rsid w:val="33EC512B"/>
    <w:rsid w:val="34084B56"/>
    <w:rsid w:val="341C101E"/>
    <w:rsid w:val="346F43F1"/>
    <w:rsid w:val="347D281C"/>
    <w:rsid w:val="34AD3E0C"/>
    <w:rsid w:val="35441A8C"/>
    <w:rsid w:val="355A3D41"/>
    <w:rsid w:val="35691819"/>
    <w:rsid w:val="356E22DF"/>
    <w:rsid w:val="35A90671"/>
    <w:rsid w:val="35B55342"/>
    <w:rsid w:val="35B771BD"/>
    <w:rsid w:val="361A47EC"/>
    <w:rsid w:val="363E4C54"/>
    <w:rsid w:val="364D7488"/>
    <w:rsid w:val="366018F2"/>
    <w:rsid w:val="36741E16"/>
    <w:rsid w:val="36820D01"/>
    <w:rsid w:val="36BB3867"/>
    <w:rsid w:val="36D654B6"/>
    <w:rsid w:val="36DB7437"/>
    <w:rsid w:val="36DD32BF"/>
    <w:rsid w:val="36F061F6"/>
    <w:rsid w:val="36F4501D"/>
    <w:rsid w:val="370C7272"/>
    <w:rsid w:val="371E4419"/>
    <w:rsid w:val="372F21F8"/>
    <w:rsid w:val="37450A23"/>
    <w:rsid w:val="37482467"/>
    <w:rsid w:val="375A10AE"/>
    <w:rsid w:val="375F18CE"/>
    <w:rsid w:val="376D3A14"/>
    <w:rsid w:val="377543D4"/>
    <w:rsid w:val="379E050A"/>
    <w:rsid w:val="37A227C0"/>
    <w:rsid w:val="37CE64E6"/>
    <w:rsid w:val="37FE1083"/>
    <w:rsid w:val="380A70E0"/>
    <w:rsid w:val="38112289"/>
    <w:rsid w:val="381439C0"/>
    <w:rsid w:val="382C54C9"/>
    <w:rsid w:val="383E466C"/>
    <w:rsid w:val="386B4E07"/>
    <w:rsid w:val="388B689C"/>
    <w:rsid w:val="388C1654"/>
    <w:rsid w:val="389567FE"/>
    <w:rsid w:val="389B0595"/>
    <w:rsid w:val="38A47140"/>
    <w:rsid w:val="38C61181"/>
    <w:rsid w:val="38CB5333"/>
    <w:rsid w:val="38F80946"/>
    <w:rsid w:val="39197560"/>
    <w:rsid w:val="39792D8B"/>
    <w:rsid w:val="39875A90"/>
    <w:rsid w:val="398D4DD4"/>
    <w:rsid w:val="39A53523"/>
    <w:rsid w:val="39A75360"/>
    <w:rsid w:val="39AA5533"/>
    <w:rsid w:val="39C661B5"/>
    <w:rsid w:val="39D06816"/>
    <w:rsid w:val="3A1A0FD7"/>
    <w:rsid w:val="3A1E7F36"/>
    <w:rsid w:val="3A4D391B"/>
    <w:rsid w:val="3A6570A1"/>
    <w:rsid w:val="3A715723"/>
    <w:rsid w:val="3A883352"/>
    <w:rsid w:val="3A98285C"/>
    <w:rsid w:val="3A9D4CDC"/>
    <w:rsid w:val="3AAA3DD3"/>
    <w:rsid w:val="3AAC37D2"/>
    <w:rsid w:val="3AB16AFD"/>
    <w:rsid w:val="3ABD3CF2"/>
    <w:rsid w:val="3AC75382"/>
    <w:rsid w:val="3AD23706"/>
    <w:rsid w:val="3AD54D74"/>
    <w:rsid w:val="3ADF1772"/>
    <w:rsid w:val="3AE83617"/>
    <w:rsid w:val="3B0A451D"/>
    <w:rsid w:val="3BF12A86"/>
    <w:rsid w:val="3C3805E4"/>
    <w:rsid w:val="3D056DE5"/>
    <w:rsid w:val="3D150381"/>
    <w:rsid w:val="3D242DC0"/>
    <w:rsid w:val="3D3357D0"/>
    <w:rsid w:val="3D444D9B"/>
    <w:rsid w:val="3D603B0C"/>
    <w:rsid w:val="3D9A53D2"/>
    <w:rsid w:val="3D9E2DAE"/>
    <w:rsid w:val="3DA82763"/>
    <w:rsid w:val="3DB71261"/>
    <w:rsid w:val="3E4B3711"/>
    <w:rsid w:val="3EAB60E2"/>
    <w:rsid w:val="3EB24A80"/>
    <w:rsid w:val="3EF344A0"/>
    <w:rsid w:val="3F0C5499"/>
    <w:rsid w:val="3F266B61"/>
    <w:rsid w:val="3F27052D"/>
    <w:rsid w:val="3F271710"/>
    <w:rsid w:val="3F564F2E"/>
    <w:rsid w:val="3F5A618E"/>
    <w:rsid w:val="3FA24FD3"/>
    <w:rsid w:val="3FF62CB9"/>
    <w:rsid w:val="403C0BE5"/>
    <w:rsid w:val="404E7F56"/>
    <w:rsid w:val="406538E2"/>
    <w:rsid w:val="40BA1A5B"/>
    <w:rsid w:val="40C1354A"/>
    <w:rsid w:val="40E6513A"/>
    <w:rsid w:val="41277CAD"/>
    <w:rsid w:val="415415D9"/>
    <w:rsid w:val="417254CB"/>
    <w:rsid w:val="4178276D"/>
    <w:rsid w:val="418A329E"/>
    <w:rsid w:val="41DE7B28"/>
    <w:rsid w:val="42122E0A"/>
    <w:rsid w:val="421C406A"/>
    <w:rsid w:val="421C69ED"/>
    <w:rsid w:val="423D3A47"/>
    <w:rsid w:val="423F7E57"/>
    <w:rsid w:val="42643AB6"/>
    <w:rsid w:val="428B61F9"/>
    <w:rsid w:val="42921C04"/>
    <w:rsid w:val="42DA32D0"/>
    <w:rsid w:val="42F13672"/>
    <w:rsid w:val="42FC2482"/>
    <w:rsid w:val="433112AC"/>
    <w:rsid w:val="434E0C0A"/>
    <w:rsid w:val="438D6152"/>
    <w:rsid w:val="43A96596"/>
    <w:rsid w:val="43C54EEF"/>
    <w:rsid w:val="443B1E1A"/>
    <w:rsid w:val="44647509"/>
    <w:rsid w:val="447B0E62"/>
    <w:rsid w:val="44824F4E"/>
    <w:rsid w:val="449A0FC3"/>
    <w:rsid w:val="44A17A7E"/>
    <w:rsid w:val="44DE5380"/>
    <w:rsid w:val="44EE06E7"/>
    <w:rsid w:val="44FD341A"/>
    <w:rsid w:val="451D104C"/>
    <w:rsid w:val="453C2484"/>
    <w:rsid w:val="453D6989"/>
    <w:rsid w:val="454B5BFF"/>
    <w:rsid w:val="454F1AA1"/>
    <w:rsid w:val="457C2700"/>
    <w:rsid w:val="45A45B97"/>
    <w:rsid w:val="45BA70B1"/>
    <w:rsid w:val="45EA2CE8"/>
    <w:rsid w:val="45F74EDF"/>
    <w:rsid w:val="4600059B"/>
    <w:rsid w:val="4601718F"/>
    <w:rsid w:val="461818D0"/>
    <w:rsid w:val="462D006C"/>
    <w:rsid w:val="46350AC6"/>
    <w:rsid w:val="46444F36"/>
    <w:rsid w:val="46565007"/>
    <w:rsid w:val="46762442"/>
    <w:rsid w:val="46AB5174"/>
    <w:rsid w:val="46B700F8"/>
    <w:rsid w:val="46BB04BA"/>
    <w:rsid w:val="46BB44BC"/>
    <w:rsid w:val="47131FCF"/>
    <w:rsid w:val="471D6532"/>
    <w:rsid w:val="473946A4"/>
    <w:rsid w:val="47510996"/>
    <w:rsid w:val="47570AD2"/>
    <w:rsid w:val="47580314"/>
    <w:rsid w:val="476726EC"/>
    <w:rsid w:val="477132E0"/>
    <w:rsid w:val="47F21740"/>
    <w:rsid w:val="47F24947"/>
    <w:rsid w:val="4804144A"/>
    <w:rsid w:val="4811419D"/>
    <w:rsid w:val="48460E87"/>
    <w:rsid w:val="486A7361"/>
    <w:rsid w:val="48C05E0B"/>
    <w:rsid w:val="48C75671"/>
    <w:rsid w:val="48C93CA5"/>
    <w:rsid w:val="49043FAA"/>
    <w:rsid w:val="490671E3"/>
    <w:rsid w:val="490E1280"/>
    <w:rsid w:val="4922407A"/>
    <w:rsid w:val="492C50AE"/>
    <w:rsid w:val="49455406"/>
    <w:rsid w:val="497B7D9F"/>
    <w:rsid w:val="498E6CD6"/>
    <w:rsid w:val="499C042D"/>
    <w:rsid w:val="49BD25AC"/>
    <w:rsid w:val="49C93F25"/>
    <w:rsid w:val="49D14B65"/>
    <w:rsid w:val="4A356A70"/>
    <w:rsid w:val="4A705EE3"/>
    <w:rsid w:val="4A765F57"/>
    <w:rsid w:val="4A801D75"/>
    <w:rsid w:val="4A803067"/>
    <w:rsid w:val="4A9B7E42"/>
    <w:rsid w:val="4AB74840"/>
    <w:rsid w:val="4AD728D0"/>
    <w:rsid w:val="4ADF597A"/>
    <w:rsid w:val="4AE30D8B"/>
    <w:rsid w:val="4AE435DD"/>
    <w:rsid w:val="4B2D7D43"/>
    <w:rsid w:val="4B3423C3"/>
    <w:rsid w:val="4B4B074F"/>
    <w:rsid w:val="4B91508D"/>
    <w:rsid w:val="4B982FB8"/>
    <w:rsid w:val="4C436FEA"/>
    <w:rsid w:val="4C437B4B"/>
    <w:rsid w:val="4C450FB8"/>
    <w:rsid w:val="4C490E3B"/>
    <w:rsid w:val="4C620ECA"/>
    <w:rsid w:val="4C747E14"/>
    <w:rsid w:val="4C7A7C24"/>
    <w:rsid w:val="4CA84AAD"/>
    <w:rsid w:val="4CAC0E3F"/>
    <w:rsid w:val="4D11734C"/>
    <w:rsid w:val="4D1D1FC4"/>
    <w:rsid w:val="4D2B53D3"/>
    <w:rsid w:val="4D6566C5"/>
    <w:rsid w:val="4D807BBE"/>
    <w:rsid w:val="4D82577A"/>
    <w:rsid w:val="4DD92163"/>
    <w:rsid w:val="4DEA0304"/>
    <w:rsid w:val="4E01515D"/>
    <w:rsid w:val="4E405991"/>
    <w:rsid w:val="4E574CEE"/>
    <w:rsid w:val="4E644A95"/>
    <w:rsid w:val="4E656BC0"/>
    <w:rsid w:val="4E65774D"/>
    <w:rsid w:val="4E733AD0"/>
    <w:rsid w:val="4EB761A4"/>
    <w:rsid w:val="4EB81A53"/>
    <w:rsid w:val="4EFD61BB"/>
    <w:rsid w:val="4F0023CD"/>
    <w:rsid w:val="4F056DE1"/>
    <w:rsid w:val="4F1503F5"/>
    <w:rsid w:val="4F19757E"/>
    <w:rsid w:val="4F223D03"/>
    <w:rsid w:val="4F804961"/>
    <w:rsid w:val="4FBA158C"/>
    <w:rsid w:val="4FC869E6"/>
    <w:rsid w:val="4FCB101C"/>
    <w:rsid w:val="4FEA6667"/>
    <w:rsid w:val="4FF22CC7"/>
    <w:rsid w:val="501927B6"/>
    <w:rsid w:val="504C1550"/>
    <w:rsid w:val="50602A1B"/>
    <w:rsid w:val="50612797"/>
    <w:rsid w:val="508012C5"/>
    <w:rsid w:val="508D0C8F"/>
    <w:rsid w:val="50AF56A8"/>
    <w:rsid w:val="50BB53A5"/>
    <w:rsid w:val="50C07CFF"/>
    <w:rsid w:val="50E70B9B"/>
    <w:rsid w:val="50FB1272"/>
    <w:rsid w:val="51174AAA"/>
    <w:rsid w:val="51441EA0"/>
    <w:rsid w:val="51C54E50"/>
    <w:rsid w:val="51C60647"/>
    <w:rsid w:val="51DE290C"/>
    <w:rsid w:val="51E40954"/>
    <w:rsid w:val="51F34C81"/>
    <w:rsid w:val="521356D1"/>
    <w:rsid w:val="52344790"/>
    <w:rsid w:val="52494AC3"/>
    <w:rsid w:val="525C1589"/>
    <w:rsid w:val="5261088D"/>
    <w:rsid w:val="52853569"/>
    <w:rsid w:val="529161F4"/>
    <w:rsid w:val="52B14270"/>
    <w:rsid w:val="530E392B"/>
    <w:rsid w:val="533521CD"/>
    <w:rsid w:val="53494392"/>
    <w:rsid w:val="535809C3"/>
    <w:rsid w:val="540E0C70"/>
    <w:rsid w:val="547B4505"/>
    <w:rsid w:val="548E6390"/>
    <w:rsid w:val="549A30CD"/>
    <w:rsid w:val="54A0008E"/>
    <w:rsid w:val="54C51393"/>
    <w:rsid w:val="54D9333A"/>
    <w:rsid w:val="54ED6EEB"/>
    <w:rsid w:val="55107489"/>
    <w:rsid w:val="55357959"/>
    <w:rsid w:val="553810A9"/>
    <w:rsid w:val="555866AD"/>
    <w:rsid w:val="555A6CF3"/>
    <w:rsid w:val="55966BD2"/>
    <w:rsid w:val="56584454"/>
    <w:rsid w:val="56973D5D"/>
    <w:rsid w:val="56B23CA6"/>
    <w:rsid w:val="56E34FD3"/>
    <w:rsid w:val="573072C4"/>
    <w:rsid w:val="57471187"/>
    <w:rsid w:val="576F023D"/>
    <w:rsid w:val="576F4FAD"/>
    <w:rsid w:val="577B6EE4"/>
    <w:rsid w:val="57AC5A21"/>
    <w:rsid w:val="57D2146B"/>
    <w:rsid w:val="57E72385"/>
    <w:rsid w:val="57EF1F3E"/>
    <w:rsid w:val="58120D81"/>
    <w:rsid w:val="581C0CA5"/>
    <w:rsid w:val="584E2F27"/>
    <w:rsid w:val="5886355F"/>
    <w:rsid w:val="58891F15"/>
    <w:rsid w:val="58A35601"/>
    <w:rsid w:val="58FF0F72"/>
    <w:rsid w:val="591C62AA"/>
    <w:rsid w:val="593C1AF7"/>
    <w:rsid w:val="59451C35"/>
    <w:rsid w:val="594F2B99"/>
    <w:rsid w:val="59DD23FD"/>
    <w:rsid w:val="59E24A9F"/>
    <w:rsid w:val="5A442C38"/>
    <w:rsid w:val="5A737CDB"/>
    <w:rsid w:val="5AC4179D"/>
    <w:rsid w:val="5B761405"/>
    <w:rsid w:val="5BED7197"/>
    <w:rsid w:val="5BF8521E"/>
    <w:rsid w:val="5BFB6E5B"/>
    <w:rsid w:val="5C1B1303"/>
    <w:rsid w:val="5C202048"/>
    <w:rsid w:val="5C241BA9"/>
    <w:rsid w:val="5C2453F7"/>
    <w:rsid w:val="5C4D09E5"/>
    <w:rsid w:val="5C502BEC"/>
    <w:rsid w:val="5C745F16"/>
    <w:rsid w:val="5C86016C"/>
    <w:rsid w:val="5C8E357B"/>
    <w:rsid w:val="5CF26FEF"/>
    <w:rsid w:val="5D0852CE"/>
    <w:rsid w:val="5D16385F"/>
    <w:rsid w:val="5D2928D3"/>
    <w:rsid w:val="5D502207"/>
    <w:rsid w:val="5D723140"/>
    <w:rsid w:val="5DBD180F"/>
    <w:rsid w:val="5DC4184E"/>
    <w:rsid w:val="5DE75DAB"/>
    <w:rsid w:val="5DE8326C"/>
    <w:rsid w:val="5E0369A2"/>
    <w:rsid w:val="5E1C522E"/>
    <w:rsid w:val="5E3B5015"/>
    <w:rsid w:val="5E87543F"/>
    <w:rsid w:val="5E92385E"/>
    <w:rsid w:val="5ECD71E6"/>
    <w:rsid w:val="5ECF201B"/>
    <w:rsid w:val="5EDA7CAB"/>
    <w:rsid w:val="5EE501EE"/>
    <w:rsid w:val="5EFC42F5"/>
    <w:rsid w:val="5F4315E3"/>
    <w:rsid w:val="5F520023"/>
    <w:rsid w:val="5F850F8C"/>
    <w:rsid w:val="5FB172F1"/>
    <w:rsid w:val="5FD80599"/>
    <w:rsid w:val="5FFB11ED"/>
    <w:rsid w:val="60001DC2"/>
    <w:rsid w:val="60380678"/>
    <w:rsid w:val="605D60B2"/>
    <w:rsid w:val="60604FB9"/>
    <w:rsid w:val="60861F3E"/>
    <w:rsid w:val="609540A8"/>
    <w:rsid w:val="60B33EB4"/>
    <w:rsid w:val="60F21D80"/>
    <w:rsid w:val="610300C4"/>
    <w:rsid w:val="611A335C"/>
    <w:rsid w:val="61216701"/>
    <w:rsid w:val="612B1527"/>
    <w:rsid w:val="61502392"/>
    <w:rsid w:val="61627966"/>
    <w:rsid w:val="61C94E86"/>
    <w:rsid w:val="621161DC"/>
    <w:rsid w:val="623A393B"/>
    <w:rsid w:val="623B781D"/>
    <w:rsid w:val="626B5F89"/>
    <w:rsid w:val="627B32D8"/>
    <w:rsid w:val="62B90CFD"/>
    <w:rsid w:val="62C26E43"/>
    <w:rsid w:val="62E37FAA"/>
    <w:rsid w:val="62FF6042"/>
    <w:rsid w:val="63226337"/>
    <w:rsid w:val="632D650D"/>
    <w:rsid w:val="63863E37"/>
    <w:rsid w:val="63C079F3"/>
    <w:rsid w:val="63DC4A37"/>
    <w:rsid w:val="64080C7C"/>
    <w:rsid w:val="643709EB"/>
    <w:rsid w:val="644E7344"/>
    <w:rsid w:val="64C62EC0"/>
    <w:rsid w:val="64C753D2"/>
    <w:rsid w:val="64E82635"/>
    <w:rsid w:val="64F168C1"/>
    <w:rsid w:val="64F459D0"/>
    <w:rsid w:val="650E118E"/>
    <w:rsid w:val="65436EF1"/>
    <w:rsid w:val="65555035"/>
    <w:rsid w:val="657354F4"/>
    <w:rsid w:val="6576790A"/>
    <w:rsid w:val="6582338C"/>
    <w:rsid w:val="65B22786"/>
    <w:rsid w:val="65D750E7"/>
    <w:rsid w:val="65E531E0"/>
    <w:rsid w:val="65F6754E"/>
    <w:rsid w:val="660B4178"/>
    <w:rsid w:val="66126944"/>
    <w:rsid w:val="661735C0"/>
    <w:rsid w:val="66692167"/>
    <w:rsid w:val="666D55B6"/>
    <w:rsid w:val="66790B19"/>
    <w:rsid w:val="66872C44"/>
    <w:rsid w:val="66A4324F"/>
    <w:rsid w:val="66DD6DB6"/>
    <w:rsid w:val="66E85B68"/>
    <w:rsid w:val="67523CB3"/>
    <w:rsid w:val="6770064D"/>
    <w:rsid w:val="677C64DA"/>
    <w:rsid w:val="67925898"/>
    <w:rsid w:val="67EB2FCE"/>
    <w:rsid w:val="67EE62F1"/>
    <w:rsid w:val="67FE0ABC"/>
    <w:rsid w:val="68197F7C"/>
    <w:rsid w:val="68272B8D"/>
    <w:rsid w:val="682B4CB5"/>
    <w:rsid w:val="683478A8"/>
    <w:rsid w:val="684A0973"/>
    <w:rsid w:val="689D7645"/>
    <w:rsid w:val="68A36922"/>
    <w:rsid w:val="68C1245B"/>
    <w:rsid w:val="68CF44E4"/>
    <w:rsid w:val="68D474B9"/>
    <w:rsid w:val="68E960E1"/>
    <w:rsid w:val="68F7499D"/>
    <w:rsid w:val="68FD1B47"/>
    <w:rsid w:val="69236347"/>
    <w:rsid w:val="69520021"/>
    <w:rsid w:val="69774602"/>
    <w:rsid w:val="699A4315"/>
    <w:rsid w:val="699A7243"/>
    <w:rsid w:val="69B50573"/>
    <w:rsid w:val="6A1658F2"/>
    <w:rsid w:val="6A2D2B79"/>
    <w:rsid w:val="6A4533FD"/>
    <w:rsid w:val="6A496835"/>
    <w:rsid w:val="6A735F66"/>
    <w:rsid w:val="6A8E7740"/>
    <w:rsid w:val="6AD5648B"/>
    <w:rsid w:val="6AE370D2"/>
    <w:rsid w:val="6B122298"/>
    <w:rsid w:val="6B44347E"/>
    <w:rsid w:val="6B521BF0"/>
    <w:rsid w:val="6B6F06C2"/>
    <w:rsid w:val="6B73161B"/>
    <w:rsid w:val="6B7409C3"/>
    <w:rsid w:val="6BDC5018"/>
    <w:rsid w:val="6BE01579"/>
    <w:rsid w:val="6BFE0E3C"/>
    <w:rsid w:val="6C026F3C"/>
    <w:rsid w:val="6C19025F"/>
    <w:rsid w:val="6C2C4F32"/>
    <w:rsid w:val="6C2E447B"/>
    <w:rsid w:val="6C396029"/>
    <w:rsid w:val="6C3B64A7"/>
    <w:rsid w:val="6CBA70CF"/>
    <w:rsid w:val="6CD83A9C"/>
    <w:rsid w:val="6D046762"/>
    <w:rsid w:val="6D1611E1"/>
    <w:rsid w:val="6D256766"/>
    <w:rsid w:val="6D594F53"/>
    <w:rsid w:val="6D7F405A"/>
    <w:rsid w:val="6DB9174A"/>
    <w:rsid w:val="6E1F0E23"/>
    <w:rsid w:val="6E5754C6"/>
    <w:rsid w:val="6E8A1B32"/>
    <w:rsid w:val="6EDF2BB6"/>
    <w:rsid w:val="6FA6229E"/>
    <w:rsid w:val="6FCC0F8B"/>
    <w:rsid w:val="6FF900E7"/>
    <w:rsid w:val="700E32C5"/>
    <w:rsid w:val="70294286"/>
    <w:rsid w:val="708C7ADE"/>
    <w:rsid w:val="70B307E8"/>
    <w:rsid w:val="70C96F94"/>
    <w:rsid w:val="70D05D03"/>
    <w:rsid w:val="70F64295"/>
    <w:rsid w:val="711575EE"/>
    <w:rsid w:val="715349F8"/>
    <w:rsid w:val="71945E92"/>
    <w:rsid w:val="71A53E36"/>
    <w:rsid w:val="71BF1449"/>
    <w:rsid w:val="72176375"/>
    <w:rsid w:val="721A1FF2"/>
    <w:rsid w:val="72356C20"/>
    <w:rsid w:val="723E4008"/>
    <w:rsid w:val="723F57BE"/>
    <w:rsid w:val="72AC1216"/>
    <w:rsid w:val="72B00049"/>
    <w:rsid w:val="72B70F99"/>
    <w:rsid w:val="72D10D26"/>
    <w:rsid w:val="72E01288"/>
    <w:rsid w:val="72E25676"/>
    <w:rsid w:val="73192710"/>
    <w:rsid w:val="732D44FD"/>
    <w:rsid w:val="73981574"/>
    <w:rsid w:val="73B92936"/>
    <w:rsid w:val="73FB49FD"/>
    <w:rsid w:val="741B10A0"/>
    <w:rsid w:val="74376D48"/>
    <w:rsid w:val="74446098"/>
    <w:rsid w:val="744D4519"/>
    <w:rsid w:val="745C5432"/>
    <w:rsid w:val="746B414F"/>
    <w:rsid w:val="7472539D"/>
    <w:rsid w:val="74901071"/>
    <w:rsid w:val="74915170"/>
    <w:rsid w:val="74DC45A8"/>
    <w:rsid w:val="74EE5741"/>
    <w:rsid w:val="750227FB"/>
    <w:rsid w:val="75212B9F"/>
    <w:rsid w:val="753D3D0E"/>
    <w:rsid w:val="75693A34"/>
    <w:rsid w:val="75B770CD"/>
    <w:rsid w:val="75C16AA8"/>
    <w:rsid w:val="75CD34AB"/>
    <w:rsid w:val="75CF7ADF"/>
    <w:rsid w:val="75E67DA3"/>
    <w:rsid w:val="764B4F25"/>
    <w:rsid w:val="76686C67"/>
    <w:rsid w:val="76CE603E"/>
    <w:rsid w:val="76D1190F"/>
    <w:rsid w:val="76E75E76"/>
    <w:rsid w:val="77162A8D"/>
    <w:rsid w:val="774025C7"/>
    <w:rsid w:val="77644111"/>
    <w:rsid w:val="77815BBB"/>
    <w:rsid w:val="77894212"/>
    <w:rsid w:val="77CF3AFC"/>
    <w:rsid w:val="77D67A49"/>
    <w:rsid w:val="7800271B"/>
    <w:rsid w:val="780B7204"/>
    <w:rsid w:val="782E08A0"/>
    <w:rsid w:val="78440AB3"/>
    <w:rsid w:val="785B79C8"/>
    <w:rsid w:val="787A7054"/>
    <w:rsid w:val="78950BD0"/>
    <w:rsid w:val="78CA0ADB"/>
    <w:rsid w:val="78D85865"/>
    <w:rsid w:val="79071000"/>
    <w:rsid w:val="792C66E3"/>
    <w:rsid w:val="798B793F"/>
    <w:rsid w:val="79FE73E8"/>
    <w:rsid w:val="7A1D75AC"/>
    <w:rsid w:val="7A237A12"/>
    <w:rsid w:val="7A6054E2"/>
    <w:rsid w:val="7A8B7D4E"/>
    <w:rsid w:val="7A98230D"/>
    <w:rsid w:val="7AC77F2D"/>
    <w:rsid w:val="7AEF4620"/>
    <w:rsid w:val="7B010EE8"/>
    <w:rsid w:val="7B360BCD"/>
    <w:rsid w:val="7B422B99"/>
    <w:rsid w:val="7B60499C"/>
    <w:rsid w:val="7B6276D7"/>
    <w:rsid w:val="7BCD0EC9"/>
    <w:rsid w:val="7C0C430A"/>
    <w:rsid w:val="7C2509CB"/>
    <w:rsid w:val="7C326A02"/>
    <w:rsid w:val="7C361D53"/>
    <w:rsid w:val="7C515A2B"/>
    <w:rsid w:val="7C7E2BD2"/>
    <w:rsid w:val="7CB814EC"/>
    <w:rsid w:val="7CBF1AA2"/>
    <w:rsid w:val="7CDC5105"/>
    <w:rsid w:val="7CF92CB6"/>
    <w:rsid w:val="7D1E30D7"/>
    <w:rsid w:val="7D2A2240"/>
    <w:rsid w:val="7D2C7B21"/>
    <w:rsid w:val="7D944D6D"/>
    <w:rsid w:val="7DC06AE5"/>
    <w:rsid w:val="7DC91483"/>
    <w:rsid w:val="7DDF015B"/>
    <w:rsid w:val="7DEE0A06"/>
    <w:rsid w:val="7E745C2A"/>
    <w:rsid w:val="7EA95F25"/>
    <w:rsid w:val="7EBF6D37"/>
    <w:rsid w:val="7ED31DC1"/>
    <w:rsid w:val="7EF47C86"/>
    <w:rsid w:val="7F3B5B00"/>
    <w:rsid w:val="7F4E7903"/>
    <w:rsid w:val="7F510FB4"/>
    <w:rsid w:val="7FCB0BE9"/>
    <w:rsid w:val="7FE147D1"/>
    <w:rsid w:val="7FEB6C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iPriority="0" w:semiHidden="0" w:name="toa heading" w:locked="1"/>
    <w:lsdException w:qFormat="1" w:unhideWhenUsed="0" w:uiPriority="0" w:semiHidden="0" w:name="List"/>
    <w:lsdException w:qFormat="1" w:uiPriority="0" w:semiHidden="0" w:name="List Bullet" w:locked="1"/>
    <w:lsdException w:uiPriority="99"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0" w:semiHidden="0" w:name="Body Text 2"/>
    <w:lsdException w:uiPriority="99" w:name="Body Text 3" w:locked="1"/>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ocked="1"/>
    <w:lsdException w:qFormat="1" w:unhideWhenUsed="0" w:uiPriority="0" w:semiHidden="0" w:name="Strong" w:locked="1"/>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39"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3"/>
    <w:qFormat/>
    <w:uiPriority w:val="0"/>
    <w:pPr>
      <w:keepNext/>
      <w:keepLines/>
      <w:numPr>
        <w:ilvl w:val="0"/>
        <w:numId w:val="1"/>
      </w:numPr>
      <w:adjustRightInd w:val="0"/>
      <w:spacing w:before="340" w:after="330" w:line="578" w:lineRule="atLeast"/>
      <w:textAlignment w:val="baseline"/>
      <w:outlineLvl w:val="0"/>
    </w:pPr>
    <w:rPr>
      <w:rFonts w:ascii="Calibri" w:hAnsi="Calibri" w:cs="Calibri"/>
      <w:b/>
      <w:bCs/>
      <w:kern w:val="44"/>
      <w:sz w:val="44"/>
      <w:szCs w:val="44"/>
    </w:rPr>
  </w:style>
  <w:style w:type="paragraph" w:styleId="6">
    <w:name w:val="heading 2"/>
    <w:basedOn w:val="1"/>
    <w:next w:val="1"/>
    <w:link w:val="64"/>
    <w:qFormat/>
    <w:uiPriority w:val="0"/>
    <w:pPr>
      <w:keepNext/>
      <w:keepLines/>
      <w:adjustRightInd w:val="0"/>
      <w:spacing w:before="260" w:after="260" w:line="416" w:lineRule="atLeast"/>
      <w:textAlignment w:val="baseline"/>
      <w:outlineLvl w:val="1"/>
    </w:pPr>
    <w:rPr>
      <w:rFonts w:ascii="Arial" w:hAnsi="Arial" w:eastAsia="黑体" w:cs="Arial"/>
      <w:b/>
      <w:bCs/>
      <w:kern w:val="0"/>
      <w:sz w:val="32"/>
      <w:szCs w:val="32"/>
    </w:rPr>
  </w:style>
  <w:style w:type="paragraph" w:styleId="7">
    <w:name w:val="heading 3"/>
    <w:basedOn w:val="1"/>
    <w:next w:val="1"/>
    <w:link w:val="65"/>
    <w:qFormat/>
    <w:uiPriority w:val="0"/>
    <w:pPr>
      <w:keepNext/>
      <w:keepLines/>
      <w:adjustRightInd w:val="0"/>
      <w:spacing w:before="260" w:after="260" w:line="416" w:lineRule="atLeast"/>
      <w:textAlignment w:val="baseline"/>
      <w:outlineLvl w:val="2"/>
    </w:pPr>
    <w:rPr>
      <w:b/>
      <w:bCs/>
      <w:kern w:val="0"/>
      <w:sz w:val="32"/>
      <w:szCs w:val="32"/>
    </w:rPr>
  </w:style>
  <w:style w:type="paragraph" w:styleId="8">
    <w:name w:val="heading 4"/>
    <w:basedOn w:val="1"/>
    <w:next w:val="1"/>
    <w:link w:val="66"/>
    <w:qFormat/>
    <w:uiPriority w:val="0"/>
    <w:pPr>
      <w:keepNext/>
      <w:keepLines/>
      <w:adjustRightInd w:val="0"/>
      <w:spacing w:before="280" w:after="290" w:line="376" w:lineRule="atLeast"/>
      <w:textAlignment w:val="baseline"/>
      <w:outlineLvl w:val="3"/>
    </w:pPr>
    <w:rPr>
      <w:rFonts w:ascii="Arial" w:hAnsi="Arial" w:eastAsia="黑体" w:cs="Arial"/>
      <w:b/>
      <w:bCs/>
      <w:sz w:val="28"/>
      <w:szCs w:val="28"/>
    </w:rPr>
  </w:style>
  <w:style w:type="paragraph" w:styleId="9">
    <w:name w:val="heading 5"/>
    <w:basedOn w:val="1"/>
    <w:next w:val="1"/>
    <w:link w:val="67"/>
    <w:qFormat/>
    <w:uiPriority w:val="0"/>
    <w:pPr>
      <w:keepNext/>
      <w:keepLines/>
      <w:adjustRightInd w:val="0"/>
      <w:spacing w:before="280" w:after="290" w:line="376" w:lineRule="atLeast"/>
      <w:textAlignment w:val="baseline"/>
      <w:outlineLvl w:val="4"/>
    </w:pPr>
    <w:rPr>
      <w:b/>
      <w:bCs/>
      <w:kern w:val="0"/>
      <w:sz w:val="28"/>
      <w:szCs w:val="28"/>
    </w:rPr>
  </w:style>
  <w:style w:type="paragraph" w:styleId="10">
    <w:name w:val="heading 6"/>
    <w:basedOn w:val="1"/>
    <w:next w:val="1"/>
    <w:link w:val="68"/>
    <w:qFormat/>
    <w:uiPriority w:val="0"/>
    <w:pPr>
      <w:keepNext/>
      <w:keepLines/>
      <w:adjustRightInd w:val="0"/>
      <w:spacing w:before="240" w:after="64" w:line="320" w:lineRule="atLeast"/>
      <w:textAlignment w:val="baseline"/>
      <w:outlineLvl w:val="5"/>
    </w:pPr>
    <w:rPr>
      <w:rFonts w:ascii="Arial" w:hAnsi="Arial" w:eastAsia="黑体" w:cs="Arial"/>
      <w:b/>
      <w:bCs/>
      <w:kern w:val="0"/>
      <w:sz w:val="24"/>
      <w:szCs w:val="24"/>
    </w:rPr>
  </w:style>
  <w:style w:type="paragraph" w:styleId="11">
    <w:name w:val="heading 7"/>
    <w:basedOn w:val="1"/>
    <w:next w:val="1"/>
    <w:link w:val="69"/>
    <w:qFormat/>
    <w:uiPriority w:val="0"/>
    <w:pPr>
      <w:keepNext/>
      <w:keepLines/>
      <w:adjustRightInd w:val="0"/>
      <w:spacing w:before="240" w:after="64" w:line="320" w:lineRule="atLeast"/>
      <w:textAlignment w:val="baseline"/>
      <w:outlineLvl w:val="6"/>
    </w:pPr>
    <w:rPr>
      <w:b/>
      <w:bCs/>
      <w:kern w:val="0"/>
      <w:sz w:val="24"/>
      <w:szCs w:val="24"/>
    </w:rPr>
  </w:style>
  <w:style w:type="paragraph" w:styleId="12">
    <w:name w:val="heading 8"/>
    <w:basedOn w:val="1"/>
    <w:next w:val="1"/>
    <w:link w:val="70"/>
    <w:qFormat/>
    <w:uiPriority w:val="0"/>
    <w:pPr>
      <w:keepNext/>
      <w:keepLines/>
      <w:adjustRightInd w:val="0"/>
      <w:spacing w:before="240" w:after="64" w:line="320" w:lineRule="atLeast"/>
      <w:textAlignment w:val="baseline"/>
      <w:outlineLvl w:val="7"/>
    </w:pPr>
    <w:rPr>
      <w:rFonts w:ascii="Arial" w:hAnsi="Arial" w:eastAsia="黑体" w:cs="Arial"/>
      <w:kern w:val="0"/>
      <w:sz w:val="24"/>
      <w:szCs w:val="24"/>
    </w:rPr>
  </w:style>
  <w:style w:type="paragraph" w:styleId="13">
    <w:name w:val="heading 9"/>
    <w:basedOn w:val="1"/>
    <w:next w:val="1"/>
    <w:link w:val="71"/>
    <w:qFormat/>
    <w:uiPriority w:val="0"/>
    <w:pPr>
      <w:keepNext/>
      <w:keepLines/>
      <w:adjustRightInd w:val="0"/>
      <w:spacing w:before="240" w:after="64" w:line="320" w:lineRule="atLeast"/>
      <w:textAlignment w:val="baseline"/>
      <w:outlineLvl w:val="8"/>
    </w:pPr>
    <w:rPr>
      <w:rFonts w:ascii="Arial" w:hAnsi="Arial" w:eastAsia="黑体" w:cs="Arial"/>
      <w:kern w:val="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73"/>
    <w:qFormat/>
    <w:locked/>
    <w:uiPriority w:val="0"/>
    <w:pPr>
      <w:ind w:firstLine="420" w:firstLineChars="200"/>
    </w:pPr>
  </w:style>
  <w:style w:type="paragraph" w:styleId="3">
    <w:name w:val="Body Text Indent"/>
    <w:basedOn w:val="1"/>
    <w:next w:val="4"/>
    <w:link w:val="72"/>
    <w:qFormat/>
    <w:uiPriority w:val="0"/>
    <w:pPr>
      <w:spacing w:after="156"/>
      <w:ind w:firstLine="480"/>
    </w:pPr>
    <w:rPr>
      <w:rFonts w:ascii="Calibri" w:hAnsi="Calibri" w:cs="Calibri"/>
      <w:sz w:val="24"/>
      <w:szCs w:val="24"/>
    </w:rPr>
  </w:style>
  <w:style w:type="paragraph" w:styleId="4">
    <w:name w:val="envelope return"/>
    <w:basedOn w:val="1"/>
    <w:qFormat/>
    <w:locked/>
    <w:uiPriority w:val="99"/>
    <w:pPr>
      <w:snapToGrid w:val="0"/>
    </w:pPr>
    <w:rPr>
      <w:rFonts w:ascii="Arial" w:hAnsi="Arial" w:cs="Arial"/>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rPr>
      <w:sz w:val="18"/>
      <w:szCs w:val="18"/>
    </w:rPr>
  </w:style>
  <w:style w:type="paragraph" w:styleId="16">
    <w:name w:val="Normal Indent"/>
    <w:basedOn w:val="1"/>
    <w:link w:val="98"/>
    <w:qFormat/>
    <w:uiPriority w:val="0"/>
    <w:pPr>
      <w:ind w:firstLine="420"/>
    </w:pPr>
  </w:style>
  <w:style w:type="paragraph" w:styleId="17">
    <w:name w:val="List Bullet"/>
    <w:basedOn w:val="1"/>
    <w:unhideWhenUsed/>
    <w:qFormat/>
    <w:locked/>
    <w:uiPriority w:val="0"/>
    <w:pPr>
      <w:tabs>
        <w:tab w:val="left" w:pos="360"/>
      </w:tabs>
      <w:contextualSpacing/>
    </w:pPr>
    <w:rPr>
      <w:szCs w:val="20"/>
    </w:rPr>
  </w:style>
  <w:style w:type="paragraph" w:styleId="18">
    <w:name w:val="Document Map"/>
    <w:basedOn w:val="1"/>
    <w:link w:val="74"/>
    <w:qFormat/>
    <w:uiPriority w:val="0"/>
    <w:pPr>
      <w:shd w:val="clear" w:color="auto" w:fill="000080"/>
    </w:pPr>
  </w:style>
  <w:style w:type="paragraph" w:styleId="19">
    <w:name w:val="toa heading"/>
    <w:basedOn w:val="1"/>
    <w:next w:val="1"/>
    <w:unhideWhenUsed/>
    <w:qFormat/>
    <w:locked/>
    <w:uiPriority w:val="0"/>
    <w:pPr>
      <w:adjustRightInd w:val="0"/>
      <w:spacing w:before="200" w:line="360" w:lineRule="atLeast"/>
      <w:jc w:val="center"/>
    </w:pPr>
    <w:rPr>
      <w:rFonts w:ascii="Arial" w:hAnsi="Arial" w:eastAsia="黑体"/>
      <w:kern w:val="0"/>
      <w:sz w:val="44"/>
      <w:szCs w:val="20"/>
    </w:rPr>
  </w:style>
  <w:style w:type="paragraph" w:styleId="20">
    <w:name w:val="annotation text"/>
    <w:basedOn w:val="1"/>
    <w:link w:val="75"/>
    <w:qFormat/>
    <w:uiPriority w:val="0"/>
    <w:pPr>
      <w:jc w:val="left"/>
    </w:pPr>
    <w:rPr>
      <w:rFonts w:ascii="Calibri" w:hAnsi="Calibri" w:cs="Calibri"/>
    </w:rPr>
  </w:style>
  <w:style w:type="paragraph" w:styleId="21">
    <w:name w:val="Body Text"/>
    <w:basedOn w:val="1"/>
    <w:link w:val="76"/>
    <w:qFormat/>
    <w:uiPriority w:val="0"/>
    <w:rPr>
      <w:sz w:val="24"/>
      <w:szCs w:val="24"/>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spacing w:after="120"/>
      <w:ind w:left="420" w:leftChars="200"/>
    </w:pPr>
  </w:style>
  <w:style w:type="paragraph" w:styleId="24">
    <w:name w:val="Block Text"/>
    <w:basedOn w:val="1"/>
    <w:qFormat/>
    <w:uiPriority w:val="0"/>
    <w:pPr>
      <w:autoSpaceDE w:val="0"/>
      <w:autoSpaceDN w:val="0"/>
      <w:adjustRightInd w:val="0"/>
      <w:spacing w:line="300" w:lineRule="auto"/>
      <w:ind w:left="29" w:leftChars="12" w:right="6" w:firstLine="560" w:firstLineChars="200"/>
    </w:pPr>
    <w:rPr>
      <w:kern w:val="0"/>
      <w:sz w:val="28"/>
      <w:szCs w:val="2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77"/>
    <w:qFormat/>
    <w:uiPriority w:val="0"/>
    <w:rPr>
      <w:rFonts w:ascii="宋体" w:hAnsi="Courier New" w:cs="宋体"/>
    </w:rPr>
  </w:style>
  <w:style w:type="paragraph" w:styleId="28">
    <w:name w:val="toc 8"/>
    <w:basedOn w:val="1"/>
    <w:next w:val="1"/>
    <w:qFormat/>
    <w:uiPriority w:val="0"/>
    <w:pPr>
      <w:ind w:left="1470"/>
      <w:jc w:val="left"/>
    </w:pPr>
    <w:rPr>
      <w:sz w:val="18"/>
      <w:szCs w:val="18"/>
    </w:rPr>
  </w:style>
  <w:style w:type="paragraph" w:styleId="29">
    <w:name w:val="Date"/>
    <w:basedOn w:val="1"/>
    <w:next w:val="1"/>
    <w:link w:val="78"/>
    <w:qFormat/>
    <w:uiPriority w:val="0"/>
    <w:pPr>
      <w:widowControl/>
      <w:ind w:left="100"/>
      <w:jc w:val="left"/>
    </w:pPr>
    <w:rPr>
      <w:rFonts w:ascii="宋体" w:hAnsi="宋体" w:cs="宋体"/>
      <w:kern w:val="0"/>
      <w:sz w:val="28"/>
      <w:szCs w:val="28"/>
    </w:rPr>
  </w:style>
  <w:style w:type="paragraph" w:styleId="30">
    <w:name w:val="Body Text Indent 2"/>
    <w:basedOn w:val="1"/>
    <w:link w:val="79"/>
    <w:qFormat/>
    <w:uiPriority w:val="0"/>
    <w:pPr>
      <w:ind w:left="1436" w:leftChars="684"/>
    </w:pPr>
    <w:rPr>
      <w:sz w:val="24"/>
      <w:szCs w:val="24"/>
    </w:rPr>
  </w:style>
  <w:style w:type="paragraph" w:styleId="31">
    <w:name w:val="List Continue 5"/>
    <w:basedOn w:val="1"/>
    <w:qFormat/>
    <w:uiPriority w:val="0"/>
    <w:pPr>
      <w:spacing w:after="120"/>
      <w:ind w:left="2100" w:leftChars="1000"/>
    </w:pPr>
  </w:style>
  <w:style w:type="paragraph" w:styleId="32">
    <w:name w:val="Balloon Text"/>
    <w:basedOn w:val="1"/>
    <w:link w:val="80"/>
    <w:qFormat/>
    <w:uiPriority w:val="0"/>
    <w:rPr>
      <w:rFonts w:ascii="Calibri" w:hAnsi="Calibri" w:cs="Calibri"/>
      <w:sz w:val="18"/>
      <w:szCs w:val="18"/>
    </w:rPr>
  </w:style>
  <w:style w:type="paragraph" w:styleId="33">
    <w:name w:val="footer"/>
    <w:basedOn w:val="1"/>
    <w:link w:val="81"/>
    <w:qFormat/>
    <w:uiPriority w:val="99"/>
    <w:pPr>
      <w:tabs>
        <w:tab w:val="center" w:pos="4153"/>
        <w:tab w:val="right" w:pos="8306"/>
      </w:tabs>
      <w:snapToGrid w:val="0"/>
      <w:jc w:val="left"/>
    </w:pPr>
    <w:rPr>
      <w:rFonts w:ascii="Calibri" w:hAnsi="Calibri" w:cs="Calibri"/>
      <w:sz w:val="18"/>
      <w:szCs w:val="18"/>
    </w:rPr>
  </w:style>
  <w:style w:type="paragraph" w:styleId="34">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0"/>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36">
    <w:name w:val="List Continue 4"/>
    <w:basedOn w:val="1"/>
    <w:qFormat/>
    <w:uiPriority w:val="0"/>
    <w:pPr>
      <w:spacing w:after="120"/>
      <w:ind w:left="1680" w:leftChars="800"/>
    </w:pPr>
  </w:style>
  <w:style w:type="paragraph" w:styleId="37">
    <w:name w:val="toc 4"/>
    <w:basedOn w:val="1"/>
    <w:next w:val="1"/>
    <w:qFormat/>
    <w:uiPriority w:val="0"/>
    <w:pPr>
      <w:tabs>
        <w:tab w:val="left" w:pos="1080"/>
        <w:tab w:val="right" w:leader="dot" w:pos="9125"/>
      </w:tabs>
      <w:adjustRightInd w:val="0"/>
      <w:snapToGrid w:val="0"/>
      <w:spacing w:line="360" w:lineRule="auto"/>
      <w:jc w:val="left"/>
    </w:pPr>
    <w:rPr>
      <w:sz w:val="18"/>
      <w:szCs w:val="18"/>
    </w:rPr>
  </w:style>
  <w:style w:type="paragraph" w:styleId="38">
    <w:name w:val="List"/>
    <w:basedOn w:val="1"/>
    <w:qFormat/>
    <w:uiPriority w:val="0"/>
    <w:pPr>
      <w:ind w:left="200" w:hanging="200" w:hangingChars="200"/>
    </w:pPr>
  </w:style>
  <w:style w:type="paragraph" w:styleId="39">
    <w:name w:val="footnote text"/>
    <w:basedOn w:val="1"/>
    <w:link w:val="83"/>
    <w:qFormat/>
    <w:uiPriority w:val="0"/>
    <w:pPr>
      <w:snapToGrid w:val="0"/>
      <w:jc w:val="left"/>
    </w:pPr>
    <w:rPr>
      <w:sz w:val="18"/>
      <w:szCs w:val="18"/>
    </w:rPr>
  </w:style>
  <w:style w:type="paragraph" w:styleId="40">
    <w:name w:val="toc 6"/>
    <w:basedOn w:val="1"/>
    <w:next w:val="1"/>
    <w:qFormat/>
    <w:uiPriority w:val="0"/>
    <w:pPr>
      <w:ind w:left="1050"/>
      <w:jc w:val="left"/>
    </w:pPr>
    <w:rPr>
      <w:sz w:val="18"/>
      <w:szCs w:val="18"/>
    </w:rPr>
  </w:style>
  <w:style w:type="paragraph" w:styleId="41">
    <w:name w:val="List 5"/>
    <w:basedOn w:val="1"/>
    <w:qFormat/>
    <w:uiPriority w:val="0"/>
    <w:pPr>
      <w:ind w:left="100" w:leftChars="800" w:hanging="200" w:hangingChars="200"/>
    </w:pPr>
  </w:style>
  <w:style w:type="paragraph" w:styleId="42">
    <w:name w:val="Body Text Indent 3"/>
    <w:basedOn w:val="1"/>
    <w:link w:val="84"/>
    <w:qFormat/>
    <w:uiPriority w:val="0"/>
    <w:pPr>
      <w:spacing w:after="120"/>
      <w:ind w:left="420" w:leftChars="200"/>
    </w:pPr>
    <w:rPr>
      <w:sz w:val="16"/>
      <w:szCs w:val="16"/>
    </w:rPr>
  </w:style>
  <w:style w:type="paragraph" w:styleId="43">
    <w:name w:val="toc 2"/>
    <w:basedOn w:val="1"/>
    <w:next w:val="1"/>
    <w:qFormat/>
    <w:uiPriority w:val="0"/>
    <w:pPr>
      <w:ind w:left="210"/>
      <w:jc w:val="left"/>
    </w:pPr>
    <w:rPr>
      <w:smallCaps/>
      <w:sz w:val="20"/>
      <w:szCs w:val="20"/>
    </w:rPr>
  </w:style>
  <w:style w:type="paragraph" w:styleId="44">
    <w:name w:val="toc 9"/>
    <w:basedOn w:val="1"/>
    <w:next w:val="1"/>
    <w:qFormat/>
    <w:uiPriority w:val="0"/>
    <w:pPr>
      <w:ind w:left="1680"/>
      <w:jc w:val="left"/>
    </w:pPr>
    <w:rPr>
      <w:sz w:val="18"/>
      <w:szCs w:val="18"/>
    </w:rPr>
  </w:style>
  <w:style w:type="paragraph" w:styleId="45">
    <w:name w:val="Body Text 2"/>
    <w:basedOn w:val="1"/>
    <w:link w:val="85"/>
    <w:qFormat/>
    <w:uiPriority w:val="0"/>
    <w:rPr>
      <w:rFonts w:ascii="宋体" w:hAnsi="宋体" w:cs="宋体"/>
      <w:sz w:val="24"/>
      <w:szCs w:val="24"/>
    </w:r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86"/>
    <w:qFormat/>
    <w:uiPriority w:val="0"/>
    <w:rPr>
      <w:rFonts w:ascii="Courier New" w:hAnsi="Courier New" w:cs="Courier New"/>
      <w:sz w:val="20"/>
      <w:szCs w:val="20"/>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50">
    <w:name w:val="List Continue 3"/>
    <w:basedOn w:val="1"/>
    <w:qFormat/>
    <w:uiPriority w:val="0"/>
    <w:pPr>
      <w:spacing w:after="120"/>
      <w:ind w:left="1260" w:leftChars="600"/>
    </w:pPr>
  </w:style>
  <w:style w:type="paragraph" w:styleId="51">
    <w:name w:val="annotation subject"/>
    <w:basedOn w:val="20"/>
    <w:next w:val="20"/>
    <w:link w:val="87"/>
    <w:qFormat/>
    <w:uiPriority w:val="0"/>
    <w:rPr>
      <w:b/>
      <w:bCs/>
    </w:rPr>
  </w:style>
  <w:style w:type="paragraph" w:styleId="52">
    <w:name w:val="Body Text First Indent"/>
    <w:basedOn w:val="21"/>
    <w:link w:val="88"/>
    <w:qFormat/>
    <w:uiPriority w:val="0"/>
    <w:pPr>
      <w:spacing w:line="360" w:lineRule="auto"/>
      <w:ind w:firstLine="482"/>
    </w:pPr>
    <w:rPr>
      <w:b/>
      <w:bCs/>
    </w:rPr>
  </w:style>
  <w:style w:type="table" w:styleId="54">
    <w:name w:val="Table Grid"/>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basedOn w:val="55"/>
    <w:qFormat/>
    <w:locked/>
    <w:uiPriority w:val="0"/>
    <w:rPr>
      <w:b/>
      <w:bCs/>
    </w:rPr>
  </w:style>
  <w:style w:type="character" w:styleId="57">
    <w:name w:val="page number"/>
    <w:basedOn w:val="55"/>
    <w:qFormat/>
    <w:uiPriority w:val="0"/>
  </w:style>
  <w:style w:type="character" w:styleId="58">
    <w:name w:val="FollowedHyperlink"/>
    <w:basedOn w:val="55"/>
    <w:qFormat/>
    <w:locked/>
    <w:uiPriority w:val="0"/>
    <w:rPr>
      <w:color w:val="333333"/>
      <w:u w:val="none"/>
    </w:rPr>
  </w:style>
  <w:style w:type="character" w:styleId="59">
    <w:name w:val="Emphasis"/>
    <w:qFormat/>
    <w:uiPriority w:val="0"/>
    <w:rPr>
      <w:color w:val="CC0000"/>
    </w:rPr>
  </w:style>
  <w:style w:type="character" w:styleId="60">
    <w:name w:val="Hyperlink"/>
    <w:basedOn w:val="55"/>
    <w:qFormat/>
    <w:uiPriority w:val="0"/>
    <w:rPr>
      <w:color w:val="333333"/>
      <w:u w:val="none"/>
    </w:rPr>
  </w:style>
  <w:style w:type="character" w:styleId="61">
    <w:name w:val="annotation reference"/>
    <w:basedOn w:val="55"/>
    <w:qFormat/>
    <w:uiPriority w:val="0"/>
    <w:rPr>
      <w:sz w:val="21"/>
      <w:szCs w:val="21"/>
    </w:rPr>
  </w:style>
  <w:style w:type="character" w:styleId="62">
    <w:name w:val="footnote reference"/>
    <w:basedOn w:val="55"/>
    <w:qFormat/>
    <w:uiPriority w:val="0"/>
    <w:rPr>
      <w:vertAlign w:val="superscript"/>
    </w:rPr>
  </w:style>
  <w:style w:type="character" w:customStyle="1" w:styleId="63">
    <w:name w:val="标题 1 Char"/>
    <w:basedOn w:val="55"/>
    <w:link w:val="5"/>
    <w:qFormat/>
    <w:locked/>
    <w:uiPriority w:val="0"/>
    <w:rPr>
      <w:b/>
      <w:bCs/>
      <w:kern w:val="44"/>
      <w:sz w:val="44"/>
      <w:szCs w:val="44"/>
    </w:rPr>
  </w:style>
  <w:style w:type="character" w:customStyle="1" w:styleId="64">
    <w:name w:val="标题 2 Char"/>
    <w:basedOn w:val="55"/>
    <w:link w:val="6"/>
    <w:qFormat/>
    <w:locked/>
    <w:uiPriority w:val="0"/>
    <w:rPr>
      <w:rFonts w:ascii="Arial" w:hAnsi="Arial" w:eastAsia="黑体" w:cs="Arial"/>
      <w:b/>
      <w:bCs/>
      <w:sz w:val="32"/>
      <w:szCs w:val="32"/>
    </w:rPr>
  </w:style>
  <w:style w:type="character" w:customStyle="1" w:styleId="65">
    <w:name w:val="标题 3 Char"/>
    <w:basedOn w:val="55"/>
    <w:link w:val="7"/>
    <w:qFormat/>
    <w:locked/>
    <w:uiPriority w:val="0"/>
    <w:rPr>
      <w:rFonts w:ascii="Times New Roman" w:hAnsi="Times New Roman" w:cs="Times New Roman"/>
      <w:b/>
      <w:bCs/>
      <w:sz w:val="32"/>
      <w:szCs w:val="32"/>
    </w:rPr>
  </w:style>
  <w:style w:type="character" w:customStyle="1" w:styleId="66">
    <w:name w:val="标题 4 Char"/>
    <w:basedOn w:val="55"/>
    <w:link w:val="8"/>
    <w:qFormat/>
    <w:locked/>
    <w:uiPriority w:val="0"/>
    <w:rPr>
      <w:rFonts w:ascii="Arial" w:hAnsi="Arial" w:eastAsia="黑体" w:cs="Arial"/>
      <w:b/>
      <w:bCs/>
      <w:kern w:val="2"/>
      <w:sz w:val="28"/>
      <w:szCs w:val="28"/>
      <w:lang w:val="en-US" w:eastAsia="zh-CN"/>
    </w:rPr>
  </w:style>
  <w:style w:type="character" w:customStyle="1" w:styleId="67">
    <w:name w:val="标题 5 Char"/>
    <w:basedOn w:val="55"/>
    <w:link w:val="9"/>
    <w:qFormat/>
    <w:locked/>
    <w:uiPriority w:val="0"/>
    <w:rPr>
      <w:rFonts w:ascii="Times New Roman" w:hAnsi="Times New Roman" w:cs="Times New Roman"/>
      <w:b/>
      <w:bCs/>
      <w:sz w:val="28"/>
      <w:szCs w:val="28"/>
    </w:rPr>
  </w:style>
  <w:style w:type="character" w:customStyle="1" w:styleId="68">
    <w:name w:val="标题 6 Char"/>
    <w:basedOn w:val="55"/>
    <w:link w:val="10"/>
    <w:qFormat/>
    <w:locked/>
    <w:uiPriority w:val="0"/>
    <w:rPr>
      <w:rFonts w:ascii="Cambria" w:hAnsi="Cambria" w:eastAsia="宋体" w:cs="Cambria"/>
      <w:b/>
      <w:bCs/>
      <w:sz w:val="24"/>
      <w:szCs w:val="24"/>
    </w:rPr>
  </w:style>
  <w:style w:type="character" w:customStyle="1" w:styleId="69">
    <w:name w:val="标题 7 Char"/>
    <w:basedOn w:val="55"/>
    <w:link w:val="11"/>
    <w:qFormat/>
    <w:locked/>
    <w:uiPriority w:val="0"/>
    <w:rPr>
      <w:rFonts w:ascii="Times New Roman" w:hAnsi="Times New Roman" w:cs="Times New Roman"/>
      <w:b/>
      <w:bCs/>
      <w:sz w:val="24"/>
      <w:szCs w:val="24"/>
    </w:rPr>
  </w:style>
  <w:style w:type="character" w:customStyle="1" w:styleId="70">
    <w:name w:val="标题 8 Char"/>
    <w:basedOn w:val="55"/>
    <w:link w:val="12"/>
    <w:qFormat/>
    <w:locked/>
    <w:uiPriority w:val="0"/>
    <w:rPr>
      <w:rFonts w:ascii="Cambria" w:hAnsi="Cambria" w:eastAsia="宋体" w:cs="Cambria"/>
      <w:sz w:val="24"/>
      <w:szCs w:val="24"/>
    </w:rPr>
  </w:style>
  <w:style w:type="character" w:customStyle="1" w:styleId="71">
    <w:name w:val="标题 9 Char"/>
    <w:basedOn w:val="55"/>
    <w:link w:val="13"/>
    <w:qFormat/>
    <w:locked/>
    <w:uiPriority w:val="0"/>
    <w:rPr>
      <w:rFonts w:ascii="Cambria" w:hAnsi="Cambria" w:eastAsia="宋体" w:cs="Cambria"/>
      <w:sz w:val="21"/>
      <w:szCs w:val="21"/>
    </w:rPr>
  </w:style>
  <w:style w:type="character" w:customStyle="1" w:styleId="72">
    <w:name w:val="正文文本缩进 Char"/>
    <w:basedOn w:val="55"/>
    <w:link w:val="3"/>
    <w:qFormat/>
    <w:locked/>
    <w:uiPriority w:val="0"/>
    <w:rPr>
      <w:kern w:val="2"/>
      <w:sz w:val="24"/>
      <w:szCs w:val="24"/>
    </w:rPr>
  </w:style>
  <w:style w:type="character" w:customStyle="1" w:styleId="73">
    <w:name w:val="正文首行缩进 2 Char"/>
    <w:basedOn w:val="72"/>
    <w:link w:val="2"/>
    <w:qFormat/>
    <w:locked/>
    <w:uiPriority w:val="0"/>
    <w:rPr>
      <w:rFonts w:ascii="Times New Roman" w:hAnsi="Times New Roman" w:cs="Times New Roman"/>
      <w:kern w:val="2"/>
      <w:sz w:val="21"/>
      <w:szCs w:val="21"/>
    </w:rPr>
  </w:style>
  <w:style w:type="character" w:customStyle="1" w:styleId="74">
    <w:name w:val="文档结构图 Char"/>
    <w:basedOn w:val="55"/>
    <w:link w:val="18"/>
    <w:qFormat/>
    <w:locked/>
    <w:uiPriority w:val="0"/>
    <w:rPr>
      <w:rFonts w:ascii="Times New Roman" w:hAnsi="Times New Roman" w:cs="Times New Roman"/>
      <w:sz w:val="2"/>
      <w:szCs w:val="2"/>
    </w:rPr>
  </w:style>
  <w:style w:type="character" w:customStyle="1" w:styleId="75">
    <w:name w:val="批注文字 Char"/>
    <w:basedOn w:val="55"/>
    <w:link w:val="20"/>
    <w:qFormat/>
    <w:locked/>
    <w:uiPriority w:val="0"/>
    <w:rPr>
      <w:kern w:val="2"/>
      <w:sz w:val="21"/>
      <w:szCs w:val="21"/>
    </w:rPr>
  </w:style>
  <w:style w:type="character" w:customStyle="1" w:styleId="76">
    <w:name w:val="正文文本 Char"/>
    <w:basedOn w:val="55"/>
    <w:link w:val="21"/>
    <w:qFormat/>
    <w:locked/>
    <w:uiPriority w:val="0"/>
    <w:rPr>
      <w:rFonts w:ascii="Times New Roman" w:hAnsi="Times New Roman" w:cs="Times New Roman"/>
      <w:sz w:val="21"/>
      <w:szCs w:val="21"/>
    </w:rPr>
  </w:style>
  <w:style w:type="character" w:customStyle="1" w:styleId="77">
    <w:name w:val="纯文本 Char"/>
    <w:basedOn w:val="55"/>
    <w:link w:val="27"/>
    <w:qFormat/>
    <w:locked/>
    <w:uiPriority w:val="99"/>
    <w:rPr>
      <w:rFonts w:ascii="宋体" w:hAnsi="Courier New" w:cs="宋体"/>
      <w:sz w:val="21"/>
      <w:szCs w:val="21"/>
    </w:rPr>
  </w:style>
  <w:style w:type="character" w:customStyle="1" w:styleId="78">
    <w:name w:val="日期 Char"/>
    <w:basedOn w:val="55"/>
    <w:link w:val="29"/>
    <w:qFormat/>
    <w:locked/>
    <w:uiPriority w:val="0"/>
    <w:rPr>
      <w:rFonts w:ascii="Times New Roman" w:hAnsi="Times New Roman" w:cs="Times New Roman"/>
      <w:sz w:val="21"/>
      <w:szCs w:val="21"/>
    </w:rPr>
  </w:style>
  <w:style w:type="character" w:customStyle="1" w:styleId="79">
    <w:name w:val="正文文本缩进 2 Char"/>
    <w:basedOn w:val="55"/>
    <w:link w:val="30"/>
    <w:qFormat/>
    <w:locked/>
    <w:uiPriority w:val="0"/>
    <w:rPr>
      <w:rFonts w:ascii="Times New Roman" w:hAnsi="Times New Roman" w:cs="Times New Roman"/>
      <w:sz w:val="21"/>
      <w:szCs w:val="21"/>
    </w:rPr>
  </w:style>
  <w:style w:type="character" w:customStyle="1" w:styleId="80">
    <w:name w:val="批注框文本 Char"/>
    <w:basedOn w:val="55"/>
    <w:link w:val="32"/>
    <w:qFormat/>
    <w:locked/>
    <w:uiPriority w:val="0"/>
    <w:rPr>
      <w:rFonts w:eastAsia="宋体"/>
      <w:kern w:val="2"/>
      <w:sz w:val="18"/>
      <w:szCs w:val="18"/>
      <w:lang w:val="en-US" w:eastAsia="zh-CN"/>
    </w:rPr>
  </w:style>
  <w:style w:type="character" w:customStyle="1" w:styleId="81">
    <w:name w:val="页脚 Char"/>
    <w:basedOn w:val="55"/>
    <w:link w:val="33"/>
    <w:qFormat/>
    <w:locked/>
    <w:uiPriority w:val="99"/>
    <w:rPr>
      <w:kern w:val="2"/>
      <w:sz w:val="18"/>
      <w:szCs w:val="18"/>
    </w:rPr>
  </w:style>
  <w:style w:type="character" w:customStyle="1" w:styleId="82">
    <w:name w:val="页眉 Char"/>
    <w:basedOn w:val="55"/>
    <w:link w:val="34"/>
    <w:qFormat/>
    <w:locked/>
    <w:uiPriority w:val="0"/>
    <w:rPr>
      <w:rFonts w:ascii="Times New Roman" w:hAnsi="Times New Roman" w:cs="Times New Roman"/>
      <w:sz w:val="18"/>
      <w:szCs w:val="18"/>
    </w:rPr>
  </w:style>
  <w:style w:type="character" w:customStyle="1" w:styleId="83">
    <w:name w:val="脚注文本 Char"/>
    <w:basedOn w:val="55"/>
    <w:link w:val="39"/>
    <w:qFormat/>
    <w:locked/>
    <w:uiPriority w:val="0"/>
    <w:rPr>
      <w:rFonts w:ascii="Times New Roman" w:hAnsi="Times New Roman" w:cs="Times New Roman"/>
      <w:sz w:val="18"/>
      <w:szCs w:val="18"/>
    </w:rPr>
  </w:style>
  <w:style w:type="character" w:customStyle="1" w:styleId="84">
    <w:name w:val="正文文本缩进 3 Char"/>
    <w:basedOn w:val="55"/>
    <w:link w:val="42"/>
    <w:semiHidden/>
    <w:qFormat/>
    <w:locked/>
    <w:uiPriority w:val="99"/>
    <w:rPr>
      <w:rFonts w:ascii="Times New Roman" w:hAnsi="Times New Roman" w:cs="Times New Roman"/>
      <w:sz w:val="16"/>
      <w:szCs w:val="16"/>
    </w:rPr>
  </w:style>
  <w:style w:type="character" w:customStyle="1" w:styleId="85">
    <w:name w:val="正文文本 2 Char"/>
    <w:basedOn w:val="55"/>
    <w:link w:val="45"/>
    <w:qFormat/>
    <w:locked/>
    <w:uiPriority w:val="0"/>
    <w:rPr>
      <w:rFonts w:ascii="Times New Roman" w:hAnsi="Times New Roman" w:cs="Times New Roman"/>
      <w:sz w:val="21"/>
      <w:szCs w:val="21"/>
    </w:rPr>
  </w:style>
  <w:style w:type="character" w:customStyle="1" w:styleId="86">
    <w:name w:val="HTML 预设格式 Char"/>
    <w:basedOn w:val="55"/>
    <w:link w:val="48"/>
    <w:qFormat/>
    <w:locked/>
    <w:uiPriority w:val="0"/>
    <w:rPr>
      <w:rFonts w:ascii="Courier New" w:hAnsi="Courier New" w:cs="Courier New"/>
      <w:kern w:val="2"/>
    </w:rPr>
  </w:style>
  <w:style w:type="character" w:customStyle="1" w:styleId="87">
    <w:name w:val="批注主题 Char"/>
    <w:basedOn w:val="75"/>
    <w:link w:val="51"/>
    <w:qFormat/>
    <w:locked/>
    <w:uiPriority w:val="0"/>
    <w:rPr>
      <w:rFonts w:ascii="Times New Roman" w:hAnsi="Times New Roman" w:cs="Times New Roman"/>
      <w:b/>
      <w:bCs/>
      <w:kern w:val="2"/>
      <w:sz w:val="21"/>
      <w:szCs w:val="21"/>
    </w:rPr>
  </w:style>
  <w:style w:type="character" w:customStyle="1" w:styleId="88">
    <w:name w:val="正文首行缩进 Char"/>
    <w:basedOn w:val="76"/>
    <w:link w:val="52"/>
    <w:qFormat/>
    <w:locked/>
    <w:uiPriority w:val="0"/>
    <w:rPr>
      <w:rFonts w:ascii="Times New Roman" w:hAnsi="Times New Roman" w:cs="Times New Roman"/>
      <w:sz w:val="21"/>
      <w:szCs w:val="21"/>
    </w:rPr>
  </w:style>
  <w:style w:type="character" w:customStyle="1" w:styleId="89">
    <w:name w:val="style1"/>
    <w:qFormat/>
    <w:uiPriority w:val="0"/>
  </w:style>
  <w:style w:type="character" w:customStyle="1" w:styleId="90">
    <w:name w:val="纯文本 Char_0_0"/>
    <w:link w:val="91"/>
    <w:qFormat/>
    <w:locked/>
    <w:uiPriority w:val="99"/>
    <w:rPr>
      <w:rFonts w:ascii="宋体" w:hAnsi="Courier New" w:cs="宋体"/>
      <w:kern w:val="2"/>
      <w:sz w:val="21"/>
      <w:szCs w:val="21"/>
    </w:rPr>
  </w:style>
  <w:style w:type="paragraph" w:customStyle="1" w:styleId="91">
    <w:name w:val="纯文本_0_0"/>
    <w:basedOn w:val="92"/>
    <w:link w:val="90"/>
    <w:qFormat/>
    <w:uiPriority w:val="99"/>
    <w:rPr>
      <w:rFonts w:ascii="宋体" w:hAnsi="Courier New" w:cs="宋体"/>
    </w:rPr>
  </w:style>
  <w:style w:type="paragraph" w:customStyle="1" w:styleId="9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93">
    <w:name w:val="标题 1 Char Char"/>
    <w:qFormat/>
    <w:uiPriority w:val="0"/>
    <w:rPr>
      <w:rFonts w:ascii="宋体" w:hAnsi="宋体" w:eastAsia="宋体" w:cs="宋体"/>
      <w:b/>
      <w:bCs/>
      <w:spacing w:val="-2"/>
      <w:sz w:val="24"/>
      <w:szCs w:val="24"/>
      <w:lang w:val="en-US" w:eastAsia="zh-CN"/>
    </w:rPr>
  </w:style>
  <w:style w:type="character" w:customStyle="1" w:styleId="94">
    <w:name w:val="font51"/>
    <w:qFormat/>
    <w:uiPriority w:val="0"/>
    <w:rPr>
      <w:rFonts w:ascii="宋体" w:hAnsi="宋体" w:eastAsia="宋体" w:cs="宋体"/>
      <w:color w:val="000000"/>
      <w:sz w:val="24"/>
      <w:szCs w:val="24"/>
      <w:u w:val="none"/>
    </w:rPr>
  </w:style>
  <w:style w:type="character" w:customStyle="1" w:styleId="95">
    <w:name w:val="Style Heading 3 + Char"/>
    <w:link w:val="96"/>
    <w:qFormat/>
    <w:locked/>
    <w:uiPriority w:val="0"/>
    <w:rPr>
      <w:rFonts w:eastAsia="宋体"/>
      <w:b/>
      <w:bCs/>
      <w:kern w:val="2"/>
      <w:sz w:val="28"/>
      <w:szCs w:val="28"/>
      <w:lang w:val="en-US" w:eastAsia="zh-CN"/>
    </w:rPr>
  </w:style>
  <w:style w:type="paragraph" w:customStyle="1" w:styleId="96">
    <w:name w:val="Style Heading 3 +"/>
    <w:basedOn w:val="7"/>
    <w:link w:val="95"/>
    <w:qFormat/>
    <w:uiPriority w:val="0"/>
    <w:pPr>
      <w:adjustRightInd/>
      <w:spacing w:before="120" w:after="120" w:line="120" w:lineRule="atLeast"/>
      <w:textAlignment w:val="auto"/>
    </w:pPr>
    <w:rPr>
      <w:kern w:val="2"/>
      <w:sz w:val="28"/>
      <w:szCs w:val="28"/>
    </w:rPr>
  </w:style>
  <w:style w:type="character" w:customStyle="1" w:styleId="97">
    <w:name w:val="font11"/>
    <w:qFormat/>
    <w:uiPriority w:val="0"/>
    <w:rPr>
      <w:rFonts w:ascii="宋体" w:hAnsi="宋体" w:eastAsia="宋体" w:cs="宋体"/>
      <w:color w:val="000000"/>
      <w:sz w:val="24"/>
      <w:szCs w:val="24"/>
      <w:u w:val="none"/>
    </w:rPr>
  </w:style>
  <w:style w:type="character" w:customStyle="1" w:styleId="98">
    <w:name w:val="正文缩进 Char"/>
    <w:link w:val="16"/>
    <w:qFormat/>
    <w:locked/>
    <w:uiPriority w:val="0"/>
    <w:rPr>
      <w:kern w:val="2"/>
      <w:sz w:val="21"/>
      <w:szCs w:val="21"/>
    </w:rPr>
  </w:style>
  <w:style w:type="character" w:customStyle="1" w:styleId="99">
    <w:name w:val="font01"/>
    <w:basedOn w:val="55"/>
    <w:qFormat/>
    <w:uiPriority w:val="0"/>
    <w:rPr>
      <w:rFonts w:ascii="宋体" w:hAnsi="宋体" w:eastAsia="宋体" w:cs="宋体"/>
      <w:color w:val="FF0000"/>
      <w:sz w:val="24"/>
      <w:szCs w:val="24"/>
      <w:u w:val="none"/>
    </w:rPr>
  </w:style>
  <w:style w:type="paragraph" w:customStyle="1" w:styleId="100">
    <w:name w:val="简单回函地址"/>
    <w:basedOn w:val="1"/>
    <w:qFormat/>
    <w:uiPriority w:val="0"/>
  </w:style>
  <w:style w:type="paragraph" w:customStyle="1" w:styleId="101">
    <w:name w:val="纯文本2"/>
    <w:basedOn w:val="1"/>
    <w:qFormat/>
    <w:uiPriority w:val="99"/>
    <w:rPr>
      <w:rFonts w:ascii="宋体" w:hAnsi="Courier New" w:cs="宋体"/>
      <w:sz w:val="28"/>
      <w:szCs w:val="28"/>
    </w:rPr>
  </w:style>
  <w:style w:type="paragraph" w:customStyle="1" w:styleId="102">
    <w:name w:val="图文"/>
    <w:basedOn w:val="1"/>
    <w:qFormat/>
    <w:uiPriority w:val="0"/>
    <w:pPr>
      <w:adjustRightInd w:val="0"/>
      <w:snapToGrid w:val="0"/>
      <w:spacing w:after="50" w:line="360" w:lineRule="auto"/>
    </w:pPr>
    <w:rPr>
      <w:sz w:val="24"/>
      <w:szCs w:val="24"/>
    </w:rPr>
  </w:style>
  <w:style w:type="paragraph" w:customStyle="1" w:styleId="103">
    <w:name w:val="Plain Text1"/>
    <w:basedOn w:val="1"/>
    <w:qFormat/>
    <w:uiPriority w:val="99"/>
    <w:pPr>
      <w:widowControl/>
      <w:adjustRightInd w:val="0"/>
      <w:jc w:val="left"/>
      <w:textAlignment w:val="baseline"/>
    </w:pPr>
    <w:rPr>
      <w:rFonts w:ascii="宋体" w:hAnsi="Courier New" w:eastAsia="楷体_GB2312" w:cs="宋体"/>
      <w:kern w:val="0"/>
      <w:sz w:val="26"/>
      <w:szCs w:val="26"/>
    </w:rPr>
  </w:style>
  <w:style w:type="paragraph" w:customStyle="1" w:styleId="104">
    <w:name w:val="文档正文"/>
    <w:basedOn w:val="1"/>
    <w:qFormat/>
    <w:uiPriority w:val="99"/>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105">
    <w:name w:val="1"/>
    <w:basedOn w:val="1"/>
    <w:next w:val="27"/>
    <w:qFormat/>
    <w:uiPriority w:val="0"/>
    <w:rPr>
      <w:rFonts w:ascii="宋体" w:hAnsi="Courier New" w:cs="宋体"/>
    </w:rPr>
  </w:style>
  <w:style w:type="paragraph" w:customStyle="1" w:styleId="106">
    <w:name w:val="6"/>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7">
    <w:name w:val="Char2"/>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08">
    <w:name w:val="二级目录"/>
    <w:next w:val="1"/>
    <w:link w:val="202"/>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109">
    <w:name w:val="Char Char Char1 Char"/>
    <w:basedOn w:val="1"/>
    <w:qFormat/>
    <w:uiPriority w:val="0"/>
  </w:style>
  <w:style w:type="paragraph" w:customStyle="1" w:styleId="110">
    <w:name w:val="列出段落1"/>
    <w:basedOn w:val="1"/>
    <w:qFormat/>
    <w:uiPriority w:val="99"/>
    <w:pPr>
      <w:ind w:firstLine="420" w:firstLineChars="200"/>
    </w:pPr>
  </w:style>
  <w:style w:type="paragraph" w:customStyle="1" w:styleId="111">
    <w:name w:val="Normal_12_0"/>
    <w:qFormat/>
    <w:uiPriority w:val="99"/>
    <w:rPr>
      <w:rFonts w:ascii="黑体" w:hAnsi="黑体" w:eastAsia="黑体" w:cs="黑体"/>
      <w:b/>
      <w:bCs/>
      <w:sz w:val="32"/>
      <w:szCs w:val="32"/>
      <w:lang w:val="en-US" w:eastAsia="zh-CN" w:bidi="ar-SA"/>
    </w:rPr>
  </w:style>
  <w:style w:type="paragraph" w:customStyle="1" w:styleId="112">
    <w:name w:val="p0"/>
    <w:basedOn w:val="1"/>
    <w:qFormat/>
    <w:uiPriority w:val="0"/>
    <w:pPr>
      <w:widowControl/>
    </w:pPr>
    <w:rPr>
      <w:kern w:val="0"/>
    </w:rPr>
  </w:style>
  <w:style w:type="paragraph" w:customStyle="1" w:styleId="113">
    <w:name w:val="正文缩进2格"/>
    <w:basedOn w:val="1"/>
    <w:link w:val="137"/>
    <w:qFormat/>
    <w:uiPriority w:val="0"/>
    <w:pPr>
      <w:spacing w:line="600" w:lineRule="exact"/>
      <w:ind w:firstLine="639" w:firstLineChars="206"/>
    </w:pPr>
    <w:rPr>
      <w:rFonts w:ascii="仿宋_GB2312" w:hAnsi="宋体" w:eastAsia="仿宋_GB2312" w:cs="仿宋_GB2312"/>
      <w:sz w:val="31"/>
      <w:szCs w:val="31"/>
    </w:rPr>
  </w:style>
  <w:style w:type="paragraph" w:customStyle="1" w:styleId="114">
    <w:name w:val="列出段落11"/>
    <w:basedOn w:val="1"/>
    <w:qFormat/>
    <w:uiPriority w:val="99"/>
    <w:pPr>
      <w:ind w:firstLine="200" w:firstLineChars="200"/>
    </w:pPr>
    <w:rPr>
      <w:rFonts w:ascii="Calibri" w:hAnsi="Calibri" w:cs="Calibri"/>
    </w:rPr>
  </w:style>
  <w:style w:type="paragraph" w:customStyle="1" w:styleId="115">
    <w:name w:val="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16">
    <w:name w:val="默认段落字体 Para Char Char Char Char"/>
    <w:basedOn w:val="1"/>
    <w:qFormat/>
    <w:uiPriority w:val="0"/>
  </w:style>
  <w:style w:type="paragraph" w:customStyle="1" w:styleId="117">
    <w:name w:val="样式 标题 1 + 宋体 段前: 0 磅 段后: 0 磅 行距: 单倍行距"/>
    <w:basedOn w:val="5"/>
    <w:next w:val="1"/>
    <w:qFormat/>
    <w:uiPriority w:val="0"/>
    <w:pPr>
      <w:spacing w:beforeLines="100" w:afterLines="100"/>
    </w:pPr>
    <w:rPr>
      <w:rFonts w:ascii="仿宋_GB2312" w:hAnsi="宋体" w:cs="仿宋_GB2312"/>
    </w:rPr>
  </w:style>
  <w:style w:type="paragraph" w:customStyle="1" w:styleId="118">
    <w:name w:val="样式 标题 2 + 黑色 行距: 1.5 倍行距"/>
    <w:basedOn w:val="6"/>
    <w:qFormat/>
    <w:uiPriority w:val="99"/>
    <w:pPr>
      <w:adjustRightInd/>
      <w:spacing w:line="360" w:lineRule="auto"/>
      <w:ind w:firstLine="3502" w:firstLineChars="1246"/>
      <w:textAlignment w:val="auto"/>
    </w:pPr>
    <w:rPr>
      <w:rFonts w:ascii="楷体_GB2312" w:hAnsi="宋体" w:eastAsia="楷体_GB2312" w:cs="楷体_GB2312"/>
      <w:kern w:val="2"/>
      <w:sz w:val="28"/>
      <w:szCs w:val="28"/>
    </w:rPr>
  </w:style>
  <w:style w:type="paragraph" w:styleId="119">
    <w:name w:val="List Paragraph"/>
    <w:basedOn w:val="1"/>
    <w:link w:val="208"/>
    <w:qFormat/>
    <w:uiPriority w:val="99"/>
    <w:pPr>
      <w:ind w:firstLine="420" w:firstLineChars="200"/>
    </w:pPr>
  </w:style>
  <w:style w:type="paragraph" w:customStyle="1" w:styleId="120">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121">
    <w:name w:val="font21"/>
    <w:basedOn w:val="55"/>
    <w:qFormat/>
    <w:uiPriority w:val="0"/>
    <w:rPr>
      <w:rFonts w:ascii="楷体_GB2312" w:eastAsia="楷体_GB2312" w:cs="楷体_GB2312"/>
      <w:color w:val="000000"/>
      <w:sz w:val="24"/>
      <w:szCs w:val="24"/>
      <w:u w:val="none"/>
    </w:rPr>
  </w:style>
  <w:style w:type="paragraph" w:customStyle="1" w:styleId="122">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paragraph" w:customStyle="1" w:styleId="123">
    <w:name w:val="正文_0"/>
    <w:qFormat/>
    <w:uiPriority w:val="99"/>
    <w:rPr>
      <w:rFonts w:ascii="Times New Roman" w:hAnsi="Times New Roman" w:eastAsia="宋体" w:cs="Times New Roman"/>
      <w:sz w:val="21"/>
      <w:szCs w:val="21"/>
      <w:lang w:val="en-US" w:eastAsia="zh-CN" w:bidi="ar-SA"/>
    </w:rPr>
  </w:style>
  <w:style w:type="paragraph" w:customStyle="1" w:styleId="124">
    <w:name w:val="纯文本1"/>
    <w:basedOn w:val="1"/>
    <w:qFormat/>
    <w:uiPriority w:val="0"/>
    <w:pPr>
      <w:adjustRightInd w:val="0"/>
      <w:textAlignment w:val="baseline"/>
    </w:pPr>
    <w:rPr>
      <w:rFonts w:ascii="宋体" w:hAnsi="Courier New"/>
      <w:sz w:val="28"/>
    </w:rPr>
  </w:style>
  <w:style w:type="character" w:customStyle="1" w:styleId="125">
    <w:name w:val="正文缩进 Char1"/>
    <w:qFormat/>
    <w:uiPriority w:val="0"/>
    <w:rPr>
      <w:rFonts w:eastAsia="宋体"/>
      <w:kern w:val="2"/>
      <w:sz w:val="21"/>
      <w:szCs w:val="24"/>
      <w:lang w:val="en-US" w:eastAsia="zh-CN" w:bidi="ar-SA"/>
    </w:rPr>
  </w:style>
  <w:style w:type="character" w:customStyle="1" w:styleId="126">
    <w:name w:val="font71"/>
    <w:qFormat/>
    <w:uiPriority w:val="0"/>
    <w:rPr>
      <w:rFonts w:hint="eastAsia" w:ascii="宋体" w:hAnsi="宋体" w:eastAsia="宋体" w:cs="宋体"/>
      <w:b/>
      <w:color w:val="000000"/>
      <w:sz w:val="40"/>
      <w:szCs w:val="40"/>
      <w:u w:val="none"/>
    </w:rPr>
  </w:style>
  <w:style w:type="character" w:customStyle="1" w:styleId="127">
    <w:name w:val="正文文本 2 Char2"/>
    <w:link w:val="128"/>
    <w:qFormat/>
    <w:uiPriority w:val="0"/>
    <w:rPr>
      <w:rFonts w:ascii="Calibri" w:hAnsi="Calibri"/>
      <w:szCs w:val="21"/>
    </w:rPr>
  </w:style>
  <w:style w:type="paragraph" w:customStyle="1" w:styleId="128">
    <w:name w:val="正文文本 21"/>
    <w:basedOn w:val="1"/>
    <w:link w:val="127"/>
    <w:qFormat/>
    <w:uiPriority w:val="0"/>
    <w:pPr>
      <w:spacing w:before="280" w:after="120" w:line="480" w:lineRule="auto"/>
      <w:ind w:left="420" w:hanging="420"/>
    </w:pPr>
    <w:rPr>
      <w:rFonts w:ascii="Calibri" w:hAnsi="Calibri"/>
      <w:kern w:val="0"/>
      <w:sz w:val="20"/>
    </w:rPr>
  </w:style>
  <w:style w:type="character" w:customStyle="1" w:styleId="129">
    <w:name w:val="flName Char"/>
    <w:link w:val="130"/>
    <w:qFormat/>
    <w:locked/>
    <w:uiPriority w:val="0"/>
    <w:rPr>
      <w:rFonts w:ascii="Arial" w:hAnsi="Arial" w:eastAsia="黑体"/>
      <w:sz w:val="32"/>
    </w:rPr>
  </w:style>
  <w:style w:type="paragraph" w:customStyle="1" w:styleId="130">
    <w:name w:val="flName"/>
    <w:basedOn w:val="1"/>
    <w:link w:val="129"/>
    <w:qFormat/>
    <w:uiPriority w:val="0"/>
    <w:pPr>
      <w:adjustRightInd w:val="0"/>
      <w:spacing w:before="320" w:after="160" w:line="360" w:lineRule="atLeast"/>
      <w:jc w:val="center"/>
    </w:pPr>
    <w:rPr>
      <w:rFonts w:ascii="Arial" w:hAnsi="Arial" w:eastAsia="黑体"/>
      <w:kern w:val="0"/>
      <w:sz w:val="32"/>
      <w:szCs w:val="20"/>
    </w:rPr>
  </w:style>
  <w:style w:type="character" w:customStyle="1" w:styleId="131">
    <w:name w:val="Char Char4"/>
    <w:qFormat/>
    <w:uiPriority w:val="0"/>
    <w:rPr>
      <w:rFonts w:eastAsia="宋体"/>
      <w:kern w:val="2"/>
      <w:sz w:val="21"/>
      <w:szCs w:val="24"/>
      <w:lang w:val="en-US" w:eastAsia="zh-CN" w:bidi="ar-SA"/>
    </w:rPr>
  </w:style>
  <w:style w:type="character" w:customStyle="1" w:styleId="132">
    <w:name w:val="16"/>
    <w:qFormat/>
    <w:uiPriority w:val="0"/>
    <w:rPr>
      <w:rFonts w:hint="default" w:ascii="Calibri" w:hAnsi="Calibri" w:cs="Calibri"/>
      <w:color w:val="0000FF"/>
      <w:u w:val="single"/>
    </w:rPr>
  </w:style>
  <w:style w:type="character" w:customStyle="1" w:styleId="133">
    <w:name w:val="font31"/>
    <w:qFormat/>
    <w:uiPriority w:val="0"/>
    <w:rPr>
      <w:rFonts w:hint="eastAsia" w:ascii="宋体" w:hAnsi="宋体" w:eastAsia="宋体" w:cs="宋体"/>
      <w:color w:val="000000"/>
      <w:sz w:val="22"/>
      <w:szCs w:val="22"/>
      <w:u w:val="none"/>
    </w:rPr>
  </w:style>
  <w:style w:type="character" w:customStyle="1" w:styleId="134">
    <w:name w:val="font61"/>
    <w:qFormat/>
    <w:uiPriority w:val="0"/>
    <w:rPr>
      <w:rFonts w:hint="eastAsia" w:ascii="宋体" w:hAnsi="宋体" w:eastAsia="宋体" w:cs="宋体"/>
      <w:b/>
      <w:color w:val="000000"/>
      <w:sz w:val="24"/>
      <w:szCs w:val="24"/>
      <w:u w:val="none"/>
    </w:rPr>
  </w:style>
  <w:style w:type="character" w:customStyle="1" w:styleId="135">
    <w:name w:val="正文缩进2格 Char"/>
    <w:qFormat/>
    <w:uiPriority w:val="0"/>
    <w:rPr>
      <w:rFonts w:ascii="仿宋_GB2312" w:hAnsi="宋体" w:eastAsia="仿宋_GB2312"/>
      <w:kern w:val="2"/>
      <w:sz w:val="31"/>
      <w:szCs w:val="28"/>
      <w:lang w:val="en-US" w:eastAsia="zh-CN" w:bidi="ar-SA"/>
    </w:rPr>
  </w:style>
  <w:style w:type="character" w:customStyle="1" w:styleId="136">
    <w:name w:val="HTML 预设格式 Char1"/>
    <w:qFormat/>
    <w:locked/>
    <w:uiPriority w:val="0"/>
    <w:rPr>
      <w:rFonts w:ascii="Courier New" w:hAnsi="Courier New" w:eastAsia="宋体" w:cs="Times New Roman"/>
      <w:kern w:val="0"/>
      <w:sz w:val="20"/>
      <w:szCs w:val="20"/>
    </w:rPr>
  </w:style>
  <w:style w:type="character" w:customStyle="1" w:styleId="137">
    <w:name w:val="正文缩进2格 Char Char"/>
    <w:link w:val="113"/>
    <w:qFormat/>
    <w:uiPriority w:val="0"/>
    <w:rPr>
      <w:rFonts w:ascii="仿宋_GB2312" w:hAnsi="宋体" w:eastAsia="仿宋_GB2312" w:cs="仿宋_GB2312"/>
      <w:kern w:val="2"/>
      <w:sz w:val="31"/>
      <w:szCs w:val="31"/>
    </w:rPr>
  </w:style>
  <w:style w:type="character" w:customStyle="1" w:styleId="138">
    <w:name w:val="font41"/>
    <w:qFormat/>
    <w:uiPriority w:val="0"/>
    <w:rPr>
      <w:rFonts w:hint="eastAsia" w:ascii="宋体" w:hAnsi="宋体" w:eastAsia="宋体" w:cs="宋体"/>
      <w:color w:val="000000"/>
      <w:sz w:val="22"/>
      <w:szCs w:val="22"/>
      <w:u w:val="none"/>
    </w:rPr>
  </w:style>
  <w:style w:type="character" w:customStyle="1" w:styleId="139">
    <w:name w:val="无间隔 Char"/>
    <w:link w:val="140"/>
    <w:qFormat/>
    <w:uiPriority w:val="0"/>
    <w:rPr>
      <w:rFonts w:eastAsia="Times New Roman"/>
      <w:kern w:val="2"/>
      <w:sz w:val="22"/>
      <w:szCs w:val="22"/>
    </w:rPr>
  </w:style>
  <w:style w:type="paragraph" w:styleId="140">
    <w:name w:val="No Spacing"/>
    <w:link w:val="139"/>
    <w:qFormat/>
    <w:uiPriority w:val="0"/>
    <w:rPr>
      <w:rFonts w:ascii="Times New Roman" w:hAnsi="Times New Roman" w:eastAsia="Times New Roman" w:cs="Times New Roman"/>
      <w:kern w:val="2"/>
      <w:sz w:val="22"/>
      <w:szCs w:val="22"/>
      <w:lang w:val="en-US" w:eastAsia="zh-CN" w:bidi="ar-SA"/>
    </w:rPr>
  </w:style>
  <w:style w:type="paragraph" w:customStyle="1" w:styleId="1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42">
    <w:name w:val="xl9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43">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5">
    <w:name w:val="列出段落2"/>
    <w:basedOn w:val="1"/>
    <w:qFormat/>
    <w:uiPriority w:val="0"/>
    <w:pPr>
      <w:ind w:firstLine="420" w:firstLineChars="200"/>
    </w:pPr>
    <w:rPr>
      <w:rFonts w:ascii="Calibri" w:hAnsi="Calibri"/>
      <w:szCs w:val="22"/>
    </w:rPr>
  </w:style>
  <w:style w:type="paragraph" w:customStyle="1" w:styleId="14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4"/>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48">
    <w:name w:val="xl92"/>
    <w:basedOn w:val="1"/>
    <w:qFormat/>
    <w:uiPriority w:val="0"/>
    <w:pPr>
      <w:widowControl/>
      <w:pBdr>
        <w:top w:val="single" w:color="000000" w:sz="4" w:space="0"/>
      </w:pBdr>
      <w:spacing w:before="100" w:beforeAutospacing="1" w:after="100" w:afterAutospacing="1"/>
      <w:jc w:val="center"/>
    </w:pPr>
    <w:rPr>
      <w:rFonts w:ascii="宋体" w:hAnsi="宋体" w:cs="宋体"/>
      <w:kern w:val="0"/>
      <w:sz w:val="20"/>
      <w:szCs w:val="20"/>
    </w:rPr>
  </w:style>
  <w:style w:type="paragraph" w:customStyle="1" w:styleId="149">
    <w:name w:val="xl6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50">
    <w:name w:val="xl64"/>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51">
    <w:name w:val="xl88"/>
    <w:basedOn w:val="1"/>
    <w:qFormat/>
    <w:uiPriority w:val="0"/>
    <w:pPr>
      <w:widowControl/>
      <w:pBdr>
        <w:left w:val="single" w:color="000000" w:sz="4" w:space="0"/>
      </w:pBdr>
      <w:spacing w:before="100" w:beforeAutospacing="1" w:after="100" w:afterAutospacing="1"/>
      <w:jc w:val="center"/>
    </w:pPr>
    <w:rPr>
      <w:rFonts w:ascii="宋体" w:hAnsi="宋体" w:cs="宋体"/>
      <w:kern w:val="0"/>
      <w:sz w:val="20"/>
      <w:szCs w:val="20"/>
    </w:rPr>
  </w:style>
  <w:style w:type="paragraph" w:customStyle="1" w:styleId="152">
    <w:name w:val="TOC 标题1"/>
    <w:basedOn w:val="5"/>
    <w:next w:val="1"/>
    <w:qFormat/>
    <w:uiPriority w:val="0"/>
    <w:pPr>
      <w:widowControl/>
      <w:numPr>
        <w:numId w:val="0"/>
      </w:numPr>
      <w:adjustRightInd/>
      <w:spacing w:before="480" w:after="0" w:line="276" w:lineRule="auto"/>
      <w:jc w:val="left"/>
      <w:textAlignment w:val="auto"/>
      <w:outlineLvl w:val="9"/>
    </w:pPr>
    <w:rPr>
      <w:rFonts w:ascii="Cambria" w:hAnsi="Cambria" w:cs="Times New Roman"/>
      <w:color w:val="365F91"/>
      <w:kern w:val="0"/>
      <w:sz w:val="28"/>
      <w:szCs w:val="28"/>
    </w:rPr>
  </w:style>
  <w:style w:type="paragraph" w:customStyle="1" w:styleId="153">
    <w:name w:val="xl101"/>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9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15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56">
    <w:name w:val="xl80"/>
    <w:basedOn w:val="1"/>
    <w:qFormat/>
    <w:uiPriority w:val="0"/>
    <w:pPr>
      <w:widowControl/>
      <w:pBdr>
        <w:left w:val="single" w:color="000000" w:sz="4" w:space="0"/>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86"/>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58">
    <w:name w:val="xl79"/>
    <w:basedOn w:val="1"/>
    <w:qFormat/>
    <w:uiPriority w:val="0"/>
    <w:pPr>
      <w:widowControl/>
      <w:pBdr>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5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1">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62">
    <w:name w:val="xl81"/>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3">
    <w:name w:val="xl100"/>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64">
    <w:name w:val="xl85"/>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5">
    <w:name w:val="xl111"/>
    <w:basedOn w:val="1"/>
    <w:qFormat/>
    <w:uiPriority w:val="0"/>
    <w:pPr>
      <w:widowControl/>
      <w:pBdr>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6">
    <w:name w:val="xl87"/>
    <w:basedOn w:val="1"/>
    <w:qFormat/>
    <w:uiPriority w:val="0"/>
    <w:pPr>
      <w:widowControl/>
      <w:pBdr>
        <w:top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67">
    <w:name w:val="xl91"/>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8">
    <w:name w:val="xl7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9">
    <w:name w:val="xl77"/>
    <w:basedOn w:val="1"/>
    <w:qFormat/>
    <w:uiPriority w:val="0"/>
    <w:pPr>
      <w:widowControl/>
      <w:pBdr>
        <w:bottom w:val="single" w:color="000000" w:sz="4" w:space="0"/>
      </w:pBdr>
      <w:spacing w:before="100" w:beforeAutospacing="1" w:after="100" w:afterAutospacing="1"/>
      <w:jc w:val="center"/>
    </w:pPr>
    <w:rPr>
      <w:rFonts w:ascii="宋体" w:hAnsi="宋体" w:cs="宋体"/>
      <w:kern w:val="0"/>
      <w:sz w:val="20"/>
      <w:szCs w:val="20"/>
    </w:rPr>
  </w:style>
  <w:style w:type="paragraph" w:customStyle="1" w:styleId="170">
    <w:name w:val="xl96"/>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1">
    <w:name w:val="xl10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4">
    <w:name w:val="正文样式"/>
    <w:basedOn w:val="1"/>
    <w:qFormat/>
    <w:uiPriority w:val="0"/>
    <w:pPr>
      <w:spacing w:line="440" w:lineRule="exact"/>
      <w:ind w:firstLine="200" w:firstLineChars="200"/>
    </w:pPr>
    <w:rPr>
      <w:rFonts w:ascii="仿宋_GB2312" w:eastAsia="仿宋_GB2312"/>
      <w:sz w:val="28"/>
      <w:szCs w:val="24"/>
    </w:rPr>
  </w:style>
  <w:style w:type="paragraph" w:customStyle="1" w:styleId="17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76">
    <w:name w:val="xl109"/>
    <w:basedOn w:val="1"/>
    <w:qFormat/>
    <w:uiPriority w:val="0"/>
    <w:pPr>
      <w:widowControl/>
      <w:pBdr>
        <w:top w:val="single" w:color="000000" w:sz="4" w:space="0"/>
        <w:left w:val="single" w:color="000000" w:sz="4" w:space="0"/>
        <w:bottom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7">
    <w:name w:val="xl94"/>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80">
    <w:name w:val="xl107"/>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81">
    <w:name w:val="xl9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2">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83">
    <w:name w:val="xl65"/>
    <w:basedOn w:val="1"/>
    <w:qFormat/>
    <w:uiPriority w:val="0"/>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8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xl78"/>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86">
    <w:name w:val="xl102"/>
    <w:basedOn w:val="1"/>
    <w:qFormat/>
    <w:uiPriority w:val="0"/>
    <w:pPr>
      <w:widowControl/>
      <w:pBdr>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87">
    <w:name w:val="xl105"/>
    <w:basedOn w:val="1"/>
    <w:qFormat/>
    <w:uiPriority w:val="0"/>
    <w:pPr>
      <w:widowControl/>
      <w:pBdr>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84"/>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pPr>
    <w:rPr>
      <w:rFonts w:ascii="仿宋_GB2312" w:hAnsi="宋体" w:eastAsia="仿宋_GB2312" w:cs="宋体"/>
      <w:kern w:val="0"/>
      <w:sz w:val="20"/>
      <w:szCs w:val="20"/>
    </w:rPr>
  </w:style>
  <w:style w:type="paragraph" w:customStyle="1" w:styleId="189">
    <w:name w:val="xl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90">
    <w:name w:val="Table Paragraph"/>
    <w:basedOn w:val="1"/>
    <w:qFormat/>
    <w:uiPriority w:val="1"/>
    <w:rPr>
      <w:rFonts w:ascii="Noto Sans Mono CJK JP Regular" w:hAnsi="Noto Sans Mono CJK JP Regular" w:eastAsia="Noto Sans Mono CJK JP Regular" w:cs="Noto Sans Mono CJK JP Regular"/>
      <w:szCs w:val="24"/>
    </w:rPr>
  </w:style>
  <w:style w:type="paragraph" w:customStyle="1" w:styleId="191">
    <w:name w:val="Char"/>
    <w:basedOn w:val="1"/>
    <w:qFormat/>
    <w:uiPriority w:val="0"/>
    <w:rPr>
      <w:szCs w:val="24"/>
    </w:rPr>
  </w:style>
  <w:style w:type="paragraph" w:customStyle="1" w:styleId="19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3">
    <w:name w:val="xl110"/>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94">
    <w:name w:val="正文文字3"/>
    <w:basedOn w:val="21"/>
    <w:qFormat/>
    <w:uiPriority w:val="0"/>
    <w:pPr>
      <w:adjustRightInd w:val="0"/>
      <w:spacing w:line="360" w:lineRule="atLeast"/>
      <w:ind w:left="30" w:leftChars="30" w:right="30" w:rightChars="30"/>
    </w:pPr>
    <w:rPr>
      <w:kern w:val="0"/>
      <w:sz w:val="21"/>
      <w:szCs w:val="20"/>
    </w:rPr>
  </w:style>
  <w:style w:type="paragraph" w:customStyle="1" w:styleId="195">
    <w:name w:val="xl98"/>
    <w:basedOn w:val="1"/>
    <w:qFormat/>
    <w:uiPriority w:val="0"/>
    <w:pPr>
      <w:widowControl/>
      <w:pBdr>
        <w:bottom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6">
    <w:name w:val="xl10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_GB2312" w:hAnsi="宋体" w:eastAsia="仿宋_GB2312" w:cs="宋体"/>
      <w:kern w:val="0"/>
      <w:sz w:val="20"/>
      <w:szCs w:val="20"/>
    </w:rPr>
  </w:style>
  <w:style w:type="paragraph" w:customStyle="1" w:styleId="197">
    <w:name w:val="xl104"/>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98">
    <w:name w:val="xl8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9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00">
    <w:name w:val="xl82"/>
    <w:basedOn w:val="1"/>
    <w:qFormat/>
    <w:uiPriority w:val="0"/>
    <w:pPr>
      <w:widowControl/>
      <w:pBdr>
        <w:bottom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character" w:customStyle="1" w:styleId="202">
    <w:name w:val="二级目录 Char"/>
    <w:link w:val="108"/>
    <w:qFormat/>
    <w:locked/>
    <w:uiPriority w:val="99"/>
    <w:rPr>
      <w:b/>
      <w:bCs/>
      <w:kern w:val="2"/>
      <w:sz w:val="30"/>
      <w:szCs w:val="30"/>
    </w:rPr>
  </w:style>
  <w:style w:type="paragraph" w:customStyle="1" w:styleId="203">
    <w:name w:val="列表段落1"/>
    <w:basedOn w:val="1"/>
    <w:qFormat/>
    <w:uiPriority w:val="34"/>
    <w:pPr>
      <w:ind w:firstLine="420" w:firstLineChars="200"/>
    </w:pPr>
    <w:rPr>
      <w:szCs w:val="24"/>
    </w:rPr>
  </w:style>
  <w:style w:type="paragraph" w:customStyle="1" w:styleId="204">
    <w:name w:val="列出段落3"/>
    <w:basedOn w:val="1"/>
    <w:qFormat/>
    <w:uiPriority w:val="0"/>
    <w:pPr>
      <w:ind w:firstLine="420" w:firstLineChars="200"/>
    </w:pPr>
    <w:rPr>
      <w:szCs w:val="20"/>
    </w:rPr>
  </w:style>
  <w:style w:type="character" w:customStyle="1" w:styleId="205">
    <w:name w:val="font81"/>
    <w:basedOn w:val="55"/>
    <w:qFormat/>
    <w:uiPriority w:val="0"/>
    <w:rPr>
      <w:rFonts w:hint="eastAsia" w:ascii="仿宋" w:hAnsi="仿宋" w:eastAsia="仿宋" w:cs="仿宋"/>
      <w:b/>
      <w:bCs/>
      <w:color w:val="000000"/>
      <w:sz w:val="22"/>
      <w:szCs w:val="22"/>
      <w:u w:val="none"/>
    </w:rPr>
  </w:style>
  <w:style w:type="paragraph" w:customStyle="1" w:styleId="20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修订1"/>
    <w:hidden/>
    <w:unhideWhenUsed/>
    <w:qFormat/>
    <w:uiPriority w:val="99"/>
    <w:rPr>
      <w:rFonts w:ascii="Times New Roman" w:hAnsi="Times New Roman" w:eastAsia="宋体" w:cs="Times New Roman"/>
      <w:kern w:val="2"/>
      <w:sz w:val="21"/>
      <w:szCs w:val="21"/>
      <w:lang w:val="en-US" w:eastAsia="zh-CN" w:bidi="ar-SA"/>
    </w:rPr>
  </w:style>
  <w:style w:type="character" w:customStyle="1" w:styleId="208">
    <w:name w:val="列出段落 Char"/>
    <w:link w:val="119"/>
    <w:qFormat/>
    <w:locked/>
    <w:uiPriority w:val="99"/>
    <w:rPr>
      <w:kern w:val="2"/>
      <w:sz w:val="21"/>
      <w:szCs w:val="21"/>
    </w:rPr>
  </w:style>
  <w:style w:type="paragraph" w:customStyle="1" w:styleId="209">
    <w:name w:val="修订2"/>
    <w:hidden/>
    <w:unhideWhenUsed/>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7D0F50-CF0B-426E-B6E7-FD11F3DF18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18089</Words>
  <Characters>18510</Characters>
  <Lines>140</Lines>
  <Paragraphs>39</Paragraphs>
  <TotalTime>246</TotalTime>
  <ScaleCrop>false</ScaleCrop>
  <LinksUpToDate>false</LinksUpToDate>
  <CharactersWithSpaces>19042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2020-12-04T06:32:00Z</dcterms:created>
  <dc:creator>ql</dc:creator>
  <cp:lastModifiedBy>黑马</cp:lastModifiedBy>
  <cp:lastPrinted>2023-03-31T06:44:00Z</cp:lastPrinted>
  <dcterms:modified xsi:type="dcterms:W3CDTF">2023-08-29T02:38:12Z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2145AD03ED074095881B14DD0044C128_13</vt:lpwstr>
  </property>
</Properties>
</file>