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545D5">
      <w:pPr>
        <w:spacing w:line="880" w:lineRule="exact"/>
        <w:jc w:val="center"/>
        <w:rPr>
          <w:rFonts w:eastAsia="隶书"/>
          <w:sz w:val="72"/>
        </w:rPr>
      </w:pPr>
    </w:p>
    <w:p w14:paraId="671B4E8E">
      <w:pPr>
        <w:spacing w:line="880" w:lineRule="exact"/>
        <w:jc w:val="center"/>
        <w:rPr>
          <w:rFonts w:eastAsia="隶书"/>
          <w:sz w:val="72"/>
        </w:rPr>
      </w:pPr>
      <w:r>
        <w:rPr>
          <w:rFonts w:hint="eastAsia" w:eastAsia="隶书"/>
          <w:sz w:val="72"/>
          <w:lang w:val="en-US" w:eastAsia="zh-CN"/>
        </w:rPr>
        <w:t>江苏南通二棉有限公司</w:t>
      </w:r>
    </w:p>
    <w:p w14:paraId="66A69BAB">
      <w:pPr>
        <w:spacing w:line="880" w:lineRule="exact"/>
        <w:jc w:val="center"/>
        <w:rPr>
          <w:rFonts w:eastAsia="隶书"/>
          <w:sz w:val="72"/>
        </w:rPr>
      </w:pPr>
    </w:p>
    <w:p w14:paraId="1176D80D">
      <w:pPr>
        <w:spacing w:line="880" w:lineRule="exact"/>
        <w:jc w:val="center"/>
        <w:rPr>
          <w:rFonts w:eastAsia="隶书"/>
          <w:sz w:val="72"/>
        </w:rPr>
      </w:pPr>
    </w:p>
    <w:p w14:paraId="1E94C36C">
      <w:pPr>
        <w:spacing w:line="880" w:lineRule="exact"/>
        <w:rPr>
          <w:rFonts w:eastAsia="隶书"/>
          <w:sz w:val="72"/>
        </w:rPr>
      </w:pPr>
    </w:p>
    <w:p w14:paraId="5D9B3290">
      <w:pPr>
        <w:spacing w:line="880" w:lineRule="exact"/>
        <w:jc w:val="center"/>
        <w:rPr>
          <w:rFonts w:eastAsia="隶书"/>
          <w:sz w:val="72"/>
        </w:rPr>
      </w:pPr>
    </w:p>
    <w:p w14:paraId="7F8E6D63">
      <w:pPr>
        <w:spacing w:line="880" w:lineRule="exact"/>
        <w:jc w:val="center"/>
        <w:rPr>
          <w:rFonts w:hint="default" w:eastAsia="隶书"/>
          <w:sz w:val="56"/>
          <w:szCs w:val="22"/>
          <w:lang w:val="en-US" w:eastAsia="zh-CN"/>
        </w:rPr>
      </w:pPr>
      <w:r>
        <w:rPr>
          <w:rFonts w:hint="default" w:eastAsia="隶书"/>
          <w:sz w:val="56"/>
          <w:szCs w:val="22"/>
          <w:lang w:val="en-US" w:eastAsia="zh-CN"/>
        </w:rPr>
        <w:t>2025年南通市工程技术研究中心认定申报技术咨询服务</w:t>
      </w:r>
    </w:p>
    <w:p w14:paraId="3B73ECF2">
      <w:pPr>
        <w:spacing w:line="880" w:lineRule="exact"/>
        <w:jc w:val="center"/>
        <w:rPr>
          <w:rFonts w:eastAsia="隶书"/>
          <w:sz w:val="56"/>
          <w:szCs w:val="22"/>
        </w:rPr>
      </w:pPr>
      <w:r>
        <w:rPr>
          <w:rFonts w:eastAsia="隶书"/>
          <w:sz w:val="56"/>
          <w:szCs w:val="22"/>
        </w:rPr>
        <w:t>招标文件</w:t>
      </w:r>
    </w:p>
    <w:p w14:paraId="2FA7B15C">
      <w:pPr>
        <w:jc w:val="center"/>
        <w:rPr>
          <w:rFonts w:eastAsia="隶书"/>
          <w:b/>
          <w:sz w:val="32"/>
        </w:rPr>
      </w:pPr>
    </w:p>
    <w:p w14:paraId="4B0AAB94">
      <w:pPr>
        <w:rPr>
          <w:rFonts w:eastAsia="隶书"/>
          <w:b/>
          <w:sz w:val="36"/>
        </w:rPr>
      </w:pPr>
    </w:p>
    <w:p w14:paraId="5B2FDCC1">
      <w:pPr>
        <w:rPr>
          <w:rFonts w:eastAsia="隶书"/>
          <w:b/>
          <w:sz w:val="36"/>
        </w:rPr>
      </w:pPr>
    </w:p>
    <w:p w14:paraId="68D7E5C7">
      <w:pPr>
        <w:rPr>
          <w:rFonts w:eastAsia="黑体"/>
          <w:sz w:val="44"/>
        </w:rPr>
      </w:pPr>
    </w:p>
    <w:p w14:paraId="5A1AF268">
      <w:pPr>
        <w:rPr>
          <w:rFonts w:eastAsia="黑体"/>
          <w:sz w:val="44"/>
        </w:rPr>
      </w:pPr>
    </w:p>
    <w:p w14:paraId="64F8F9AF">
      <w:pPr>
        <w:jc w:val="center"/>
        <w:rPr>
          <w:rFonts w:eastAsia="黑体"/>
          <w:sz w:val="44"/>
        </w:rPr>
      </w:pPr>
    </w:p>
    <w:p w14:paraId="6F83F705">
      <w:pPr>
        <w:jc w:val="center"/>
      </w:pPr>
      <w:r>
        <w:rPr>
          <w:rFonts w:eastAsia="隶书"/>
          <w:b/>
          <w:sz w:val="32"/>
        </w:rPr>
        <w:t>202</w:t>
      </w:r>
      <w:r>
        <w:rPr>
          <w:rFonts w:hint="eastAsia" w:eastAsia="隶书"/>
          <w:b/>
          <w:sz w:val="32"/>
          <w:lang w:val="en-US" w:eastAsia="zh-CN"/>
        </w:rPr>
        <w:t>5</w:t>
      </w:r>
      <w:r>
        <w:rPr>
          <w:rFonts w:eastAsia="隶书"/>
          <w:b/>
          <w:sz w:val="32"/>
        </w:rPr>
        <w:t>年</w:t>
      </w:r>
      <w:r>
        <w:rPr>
          <w:rFonts w:hint="eastAsia" w:eastAsia="隶书"/>
          <w:b/>
          <w:sz w:val="32"/>
          <w:lang w:val="en-US" w:eastAsia="zh-CN"/>
        </w:rPr>
        <w:t>05</w:t>
      </w:r>
      <w:r>
        <w:rPr>
          <w:rFonts w:eastAsia="隶书"/>
          <w:b/>
          <w:sz w:val="32"/>
        </w:rPr>
        <w:t>月</w:t>
      </w:r>
    </w:p>
    <w:p w14:paraId="425E5DB4">
      <w:pPr>
        <w:jc w:val="center"/>
        <w:rPr>
          <w:b/>
          <w:bCs/>
          <w:sz w:val="30"/>
          <w:szCs w:val="30"/>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p>
    <w:p w14:paraId="6CF01838">
      <w:pPr>
        <w:jc w:val="center"/>
        <w:rPr>
          <w:b/>
          <w:bCs/>
          <w:sz w:val="30"/>
          <w:szCs w:val="30"/>
        </w:rPr>
      </w:pPr>
      <w:r>
        <w:rPr>
          <w:b/>
          <w:bCs/>
          <w:sz w:val="30"/>
          <w:szCs w:val="30"/>
        </w:rPr>
        <w:t>招标书</w:t>
      </w:r>
    </w:p>
    <w:p w14:paraId="2723BD2F">
      <w:pPr>
        <w:numPr>
          <w:ilvl w:val="0"/>
          <w:numId w:val="1"/>
        </w:numPr>
        <w:spacing w:before="240" w:after="240" w:line="360" w:lineRule="auto"/>
        <w:rPr>
          <w:b/>
          <w:sz w:val="28"/>
        </w:rPr>
      </w:pPr>
      <w:r>
        <w:rPr>
          <w:b/>
          <w:sz w:val="28"/>
        </w:rPr>
        <w:t>投标邀请</w:t>
      </w:r>
    </w:p>
    <w:p w14:paraId="1AB12FA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rPr>
      </w:pPr>
      <w:r>
        <w:rPr>
          <w:rFonts w:hint="eastAsia"/>
          <w:sz w:val="24"/>
        </w:rPr>
        <w:t>本公司就2025年南通市工程技术研究中心认定申报</w:t>
      </w:r>
      <w:r>
        <w:rPr>
          <w:rFonts w:hint="eastAsia"/>
          <w:sz w:val="24"/>
          <w:lang w:val="en-US" w:eastAsia="zh-CN"/>
        </w:rPr>
        <w:t>的</w:t>
      </w:r>
      <w:r>
        <w:rPr>
          <w:rFonts w:hint="eastAsia"/>
          <w:sz w:val="24"/>
        </w:rPr>
        <w:t>技术咨询服务进行公开招标，特邀请合格的投标人前来投标。</w:t>
      </w:r>
    </w:p>
    <w:p w14:paraId="19544B8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rPr>
      </w:pPr>
      <w:r>
        <w:rPr>
          <w:rFonts w:hint="eastAsia"/>
          <w:sz w:val="24"/>
          <w:lang w:val="en-US" w:eastAsia="zh-CN"/>
        </w:rPr>
        <w:t>1、</w:t>
      </w:r>
      <w:r>
        <w:rPr>
          <w:rFonts w:hint="eastAsia"/>
          <w:sz w:val="24"/>
        </w:rPr>
        <w:t>投标人资格要求：</w:t>
      </w:r>
    </w:p>
    <w:p w14:paraId="6398B9C2">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1）在中华人民共和国境内合法注册，具有独立法人资格，符合国家法律规定，进行工商税务登记且年检合格；</w:t>
      </w:r>
    </w:p>
    <w:p w14:paraId="25337DA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2）企业营业执照经营范围必须包括咨询业务；</w:t>
      </w:r>
    </w:p>
    <w:p w14:paraId="2D19750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3）具有良好的商业信誉和健全的财务会计制度；</w:t>
      </w:r>
    </w:p>
    <w:p w14:paraId="674D53A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4）具有3年以上的相关项目申报服务项目经验，对项目认定咨询业务熟练；</w:t>
      </w:r>
    </w:p>
    <w:p w14:paraId="12E2DBE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5）有依法缴纳税收和社会保障资金的良好记录；</w:t>
      </w:r>
    </w:p>
    <w:p w14:paraId="0BC1501B">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6）近三年内，无不良行为记录和恶意投诉情况；没有骗取中标、严重违约，所涉及国家高新技术企业认定申报服务未发生重大质量问题；</w:t>
      </w:r>
    </w:p>
    <w:p w14:paraId="54E3D4DF">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7）未被政府行政管理机构、机关、法人及公司等实施市场禁入的技术服务公司；</w:t>
      </w:r>
    </w:p>
    <w:p w14:paraId="1A8A24AE">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8）本项目不允许联合体投标。</w:t>
      </w:r>
    </w:p>
    <w:p w14:paraId="19608CA0">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rPr>
      </w:pPr>
      <w:r>
        <w:rPr>
          <w:rFonts w:hint="eastAsia"/>
          <w:sz w:val="24"/>
          <w:lang w:val="en-US" w:eastAsia="zh-CN"/>
        </w:rPr>
        <w:t>2、</w:t>
      </w:r>
      <w:r>
        <w:rPr>
          <w:rFonts w:hint="eastAsia"/>
          <w:sz w:val="24"/>
        </w:rPr>
        <w:t>招标文件的价格：</w:t>
      </w:r>
      <w:r>
        <w:rPr>
          <w:rFonts w:hint="eastAsia"/>
          <w:sz w:val="24"/>
          <w:lang w:val="en-US" w:eastAsia="zh-CN"/>
        </w:rPr>
        <w:t>本次招标文件免费</w:t>
      </w:r>
      <w:r>
        <w:rPr>
          <w:rFonts w:hint="eastAsia"/>
          <w:sz w:val="24"/>
        </w:rPr>
        <w:t>。</w:t>
      </w:r>
    </w:p>
    <w:p w14:paraId="113FF00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3、投标费用：投标方需承担与本投标有关的自身所发生的所有费用，包括标书准备、提交、以及其他相关费用。无论投标结果如何，招标方不承担、分担任何费用。</w:t>
      </w:r>
    </w:p>
    <w:p w14:paraId="47097326">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4、投标书要求：投标方在投标之前必须认真阅读本招标书的说明，投标方因未能遵循此要求而造成的对本招标书所要求投标方提供的任何资料、信息、数据的遗漏或任何非针对招标书要求项目的报价均须自担风险并承担可能导致其标书被招标废弃的后果。</w:t>
      </w:r>
    </w:p>
    <w:p w14:paraId="0202BF0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5、招标书的修改： 在投标截止日前任何时间，招标方具有可能由于各种原因（无论是招标方提出的或有投标方要求招标方澄清招标书内容而引起的）而修改本招标书之内容的权利。 招标书的修改将会以书面的形式通知所有已从招标方取得招标书的投标方，同时为了使投标方有充分的时间在投标书中反映所有招标书修改的内容，招标方根据需要，可以自行决定延长递交投标书的截止日期。</w:t>
      </w:r>
    </w:p>
    <w:p w14:paraId="60A0A658">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highlight w:val="none"/>
          <w:lang w:val="en-US" w:eastAsia="zh-CN"/>
        </w:rPr>
      </w:pPr>
      <w:r>
        <w:rPr>
          <w:rFonts w:hint="eastAsia"/>
          <w:sz w:val="24"/>
          <w:highlight w:val="none"/>
          <w:lang w:val="en-US" w:eastAsia="zh-CN"/>
        </w:rPr>
        <w:t>6、投标书组成：（1）投标函（2）投标分项报价表（3）项目实施方案和服务方案（4）其他特别要求或说明（5）附件：①公司营业执照②法人代表授权书③投标人概况④投标人技术能力⑤投标人财务状况⑥近两年高企认定申报服务业绩证明（认定申报量及申报成功率等，提供近两年服务的纺织企业及认定成功的纺织企业名单）。</w:t>
      </w:r>
    </w:p>
    <w:p w14:paraId="359F235A">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 xml:space="preserve">7、有关费用：无论投标结果如何，投标过程中所发生的一切费用均由投标单位自行承担。 </w:t>
      </w:r>
    </w:p>
    <w:p w14:paraId="7A92C1C0">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8、投标价格：</w:t>
      </w:r>
      <w:r>
        <w:rPr>
          <w:rFonts w:hint="eastAsia"/>
          <w:sz w:val="24"/>
          <w:highlight w:val="none"/>
          <w:lang w:val="en-US" w:eastAsia="zh-CN"/>
        </w:rPr>
        <w:t>南通市工程技术研究中心</w:t>
      </w:r>
      <w:r>
        <w:rPr>
          <w:rFonts w:hint="eastAsia"/>
          <w:sz w:val="24"/>
          <w:lang w:val="en-US" w:eastAsia="zh-CN"/>
        </w:rPr>
        <w:t>认定服务，最高价格人民币15000元。</w:t>
      </w:r>
    </w:p>
    <w:p w14:paraId="01DD914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highlight w:val="none"/>
          <w:lang w:val="en-US" w:eastAsia="zh-CN"/>
        </w:rPr>
      </w:pPr>
      <w:r>
        <w:rPr>
          <w:rFonts w:hint="eastAsia"/>
          <w:sz w:val="24"/>
          <w:highlight w:val="none"/>
          <w:lang w:val="en-US" w:eastAsia="zh-CN"/>
        </w:rPr>
        <w:t>9、投标资料：</w:t>
      </w:r>
      <w:r>
        <w:rPr>
          <w:rFonts w:hint="eastAsia"/>
          <w:sz w:val="24"/>
          <w:highlight w:val="none"/>
        </w:rPr>
        <w:t>投标文件正本</w:t>
      </w:r>
      <w:r>
        <w:rPr>
          <w:rFonts w:hint="eastAsia"/>
          <w:sz w:val="24"/>
          <w:highlight w:val="none"/>
          <w:lang w:val="en-US" w:eastAsia="zh-CN"/>
        </w:rPr>
        <w:t>一</w:t>
      </w:r>
      <w:r>
        <w:rPr>
          <w:rFonts w:hint="eastAsia"/>
          <w:sz w:val="24"/>
          <w:highlight w:val="none"/>
        </w:rPr>
        <w:t>份密封</w:t>
      </w:r>
      <w:r>
        <w:rPr>
          <w:rFonts w:hint="eastAsia"/>
          <w:sz w:val="24"/>
          <w:highlight w:val="none"/>
          <w:lang w:val="en-US" w:eastAsia="zh-CN"/>
        </w:rPr>
        <w:t>包装，快递至江苏省南通市崇川区大生路1号，江苏大生集团有限公司大楼205室张慧收，联系电话：13912279325。</w:t>
      </w:r>
    </w:p>
    <w:p w14:paraId="3C9B963B">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rPr>
      </w:pPr>
      <w:r>
        <w:rPr>
          <w:rFonts w:hint="eastAsia"/>
          <w:sz w:val="24"/>
          <w:lang w:val="en-US" w:eastAsia="zh-CN"/>
        </w:rPr>
        <w:t>10</w:t>
      </w:r>
      <w:r>
        <w:rPr>
          <w:rFonts w:hint="eastAsia"/>
          <w:sz w:val="24"/>
          <w:lang w:eastAsia="zh-CN"/>
        </w:rPr>
        <w:t>、</w:t>
      </w:r>
      <w:r>
        <w:rPr>
          <w:rFonts w:hint="eastAsia"/>
          <w:sz w:val="24"/>
        </w:rPr>
        <w:t>投标截止时间：</w:t>
      </w:r>
      <w:bookmarkStart w:id="0" w:name="OLE_LINK2"/>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05</w:t>
      </w:r>
      <w:r>
        <w:rPr>
          <w:rFonts w:hint="eastAsia"/>
          <w:sz w:val="24"/>
          <w:highlight w:val="none"/>
        </w:rPr>
        <w:t>月</w:t>
      </w:r>
      <w:r>
        <w:rPr>
          <w:rFonts w:hint="eastAsia"/>
          <w:sz w:val="24"/>
          <w:highlight w:val="none"/>
          <w:lang w:val="en-US" w:eastAsia="zh-CN"/>
        </w:rPr>
        <w:t>15</w:t>
      </w:r>
      <w:bookmarkStart w:id="3" w:name="_GoBack"/>
      <w:bookmarkEnd w:id="3"/>
      <w:r>
        <w:rPr>
          <w:rFonts w:hint="eastAsia"/>
          <w:sz w:val="24"/>
          <w:highlight w:val="none"/>
        </w:rPr>
        <w:t>日</w:t>
      </w:r>
      <w:r>
        <w:rPr>
          <w:rFonts w:hint="eastAsia"/>
          <w:sz w:val="24"/>
          <w:highlight w:val="none"/>
          <w:lang w:val="en-US" w:eastAsia="zh-CN"/>
        </w:rPr>
        <w:t>下</w:t>
      </w:r>
      <w:r>
        <w:rPr>
          <w:rFonts w:hint="eastAsia"/>
          <w:sz w:val="24"/>
          <w:highlight w:val="none"/>
        </w:rPr>
        <w:t>午1</w:t>
      </w:r>
      <w:r>
        <w:rPr>
          <w:rFonts w:hint="eastAsia"/>
          <w:sz w:val="24"/>
          <w:highlight w:val="none"/>
          <w:lang w:val="en-US" w:eastAsia="zh-CN"/>
        </w:rPr>
        <w:t>6</w:t>
      </w:r>
      <w:r>
        <w:rPr>
          <w:rFonts w:hint="eastAsia"/>
          <w:sz w:val="24"/>
        </w:rPr>
        <w:t>：</w:t>
      </w:r>
      <w:r>
        <w:rPr>
          <w:rFonts w:hint="eastAsia"/>
          <w:sz w:val="24"/>
          <w:lang w:val="en-US" w:eastAsia="zh-CN"/>
        </w:rPr>
        <w:t>0</w:t>
      </w:r>
      <w:r>
        <w:rPr>
          <w:rFonts w:hint="eastAsia"/>
          <w:sz w:val="24"/>
        </w:rPr>
        <w:t>0整</w:t>
      </w:r>
      <w:bookmarkEnd w:id="0"/>
      <w:r>
        <w:rPr>
          <w:rFonts w:hint="eastAsia"/>
          <w:sz w:val="24"/>
        </w:rPr>
        <w:t>。</w:t>
      </w:r>
    </w:p>
    <w:p w14:paraId="0E8B868B">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11、开标时间：收标截止日后5个工作日内开标，届时招标方将审查投标文件是否完整，并以此进行初审，所有不符合要求的投标文件将作为废标处理。</w:t>
      </w:r>
    </w:p>
    <w:p w14:paraId="118E74F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12、开标后直至中标公布之前，所有有关标书的初审、评估、比较等内容不得透露给任何投标方或其他与评标、定标无关的第三者。</w:t>
      </w:r>
    </w:p>
    <w:p w14:paraId="336559D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13、签订合同：中标方在5个工作日内和招标方签订合同。</w:t>
      </w:r>
    </w:p>
    <w:p w14:paraId="398F815F">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br w:type="page"/>
      </w:r>
    </w:p>
    <w:p w14:paraId="2F8D442C">
      <w:pPr>
        <w:numPr>
          <w:ilvl w:val="0"/>
          <w:numId w:val="1"/>
        </w:numPr>
        <w:spacing w:before="240" w:after="240" w:line="360" w:lineRule="auto"/>
        <w:rPr>
          <w:rFonts w:hint="eastAsia"/>
          <w:sz w:val="24"/>
          <w:lang w:eastAsia="zh-CN"/>
        </w:rPr>
      </w:pPr>
      <w:r>
        <w:rPr>
          <w:rFonts w:hint="eastAsia" w:ascii="宋体" w:hAnsi="宋体" w:cs="Arial"/>
          <w:b/>
          <w:sz w:val="28"/>
          <w:lang w:val="en-US" w:eastAsia="zh-CN"/>
        </w:rPr>
        <w:t>服务内容及付款方式</w:t>
      </w:r>
      <w:r>
        <w:rPr>
          <w:rFonts w:hint="eastAsia"/>
          <w:sz w:val="24"/>
          <w:lang w:eastAsia="zh-CN"/>
        </w:rPr>
        <w:t>（</w:t>
      </w:r>
      <w:r>
        <w:rPr>
          <w:rFonts w:hint="eastAsia"/>
          <w:sz w:val="24"/>
          <w:lang w:val="en-US" w:eastAsia="zh-CN"/>
        </w:rPr>
        <w:t>请投标人每项单独报价，招标人有权选择性实施</w:t>
      </w:r>
      <w:r>
        <w:rPr>
          <w:rFonts w:hint="eastAsia"/>
          <w:sz w:val="24"/>
          <w:lang w:eastAsia="zh-CN"/>
        </w:rPr>
        <w:t>）</w:t>
      </w:r>
    </w:p>
    <w:p w14:paraId="69BFD4A2">
      <w:pPr>
        <w:pStyle w:val="6"/>
        <w:bidi w:val="0"/>
        <w:spacing w:line="360" w:lineRule="auto"/>
        <w:ind w:firstLine="480" w:firstLineChars="200"/>
        <w:rPr>
          <w:rFonts w:hint="eastAsia"/>
          <w:sz w:val="24"/>
          <w:lang w:val="en-US" w:eastAsia="zh-CN"/>
        </w:rPr>
      </w:pPr>
      <w:r>
        <w:rPr>
          <w:rFonts w:hint="eastAsia"/>
          <w:sz w:val="24"/>
          <w:lang w:val="en-US" w:eastAsia="zh-CN"/>
        </w:rPr>
        <w:t>江苏南通二棉有限公司2025年南通市工程技术研究中心认定服务：</w:t>
      </w:r>
    </w:p>
    <w:p w14:paraId="5B2D94FE">
      <w:pPr>
        <w:pStyle w:val="6"/>
        <w:bidi w:val="0"/>
        <w:spacing w:line="360" w:lineRule="auto"/>
        <w:ind w:firstLine="240" w:firstLineChars="100"/>
        <w:rPr>
          <w:rFonts w:hint="eastAsia"/>
          <w:sz w:val="24"/>
          <w:lang w:val="en-US" w:eastAsia="zh-CN"/>
        </w:rPr>
      </w:pPr>
      <w:r>
        <w:rPr>
          <w:rFonts w:hint="eastAsia"/>
          <w:sz w:val="24"/>
          <w:lang w:val="en-US" w:eastAsia="zh-CN"/>
        </w:rPr>
        <w:t>（1）服务内容：政策辅导；申报辅导及材料整理；材料审核把关。</w:t>
      </w:r>
    </w:p>
    <w:p w14:paraId="0561936C">
      <w:pPr>
        <w:pStyle w:val="6"/>
        <w:bidi w:val="0"/>
        <w:spacing w:line="360" w:lineRule="auto"/>
        <w:ind w:firstLine="240" w:firstLineChars="100"/>
        <w:rPr>
          <w:rFonts w:hint="eastAsia"/>
          <w:sz w:val="24"/>
          <w:lang w:val="en-US" w:eastAsia="zh-CN"/>
        </w:rPr>
      </w:pPr>
      <w:r>
        <w:rPr>
          <w:rFonts w:hint="eastAsia"/>
          <w:sz w:val="24"/>
          <w:lang w:val="en-US" w:eastAsia="zh-CN"/>
        </w:rPr>
        <w:t>（2）付款方式：于通过南通市工程技术研究中心认定，获得主管部门官方网站公示结束无异议后一次性支付。</w:t>
      </w:r>
    </w:p>
    <w:p w14:paraId="61D51E07">
      <w:pPr>
        <w:pStyle w:val="6"/>
        <w:bidi w:val="0"/>
        <w:rPr>
          <w:rFonts w:hint="eastAsia"/>
        </w:rPr>
      </w:pPr>
      <w:r>
        <w:rPr>
          <w:rFonts w:hint="eastAsia" w:ascii="宋体" w:hAnsi="宋体" w:eastAsia="宋体" w:cs="Arial"/>
          <w:b/>
          <w:kern w:val="2"/>
          <w:sz w:val="28"/>
          <w:szCs w:val="24"/>
          <w:lang w:val="en-US" w:eastAsia="zh-CN" w:bidi="ar-SA"/>
        </w:rPr>
        <w:t>三、投标文件的编制</w:t>
      </w:r>
      <w:r>
        <w:rPr>
          <w:rFonts w:hint="eastAsia"/>
        </w:rPr>
        <w:t>（以下文件</w:t>
      </w:r>
      <w:r>
        <w:rPr>
          <w:rFonts w:hint="eastAsia"/>
          <w:lang w:val="en-US" w:eastAsia="zh-CN"/>
        </w:rPr>
        <w:t>按规定格式编制，</w:t>
      </w:r>
      <w:r>
        <w:rPr>
          <w:rFonts w:hint="eastAsia"/>
        </w:rPr>
        <w:t>如未提供将导致废标）</w:t>
      </w:r>
    </w:p>
    <w:p w14:paraId="7634CA63">
      <w:pPr>
        <w:pStyle w:val="6"/>
        <w:bidi w:val="0"/>
        <w:ind w:firstLine="480" w:firstLineChars="200"/>
        <w:rPr>
          <w:rFonts w:hint="eastAsia" w:ascii="Times New Roman" w:hAnsi="Times New Roman" w:eastAsia="宋体" w:cs="Times New Roman"/>
          <w:kern w:val="2"/>
          <w:sz w:val="24"/>
          <w:szCs w:val="24"/>
          <w:lang w:val="en-US" w:eastAsia="zh-CN" w:bidi="ar-SA"/>
        </w:rPr>
      </w:pPr>
      <w:r>
        <w:rPr>
          <w:rFonts w:hint="eastAsia"/>
        </w:rPr>
        <w:t>1、</w:t>
      </w:r>
      <w:r>
        <w:rPr>
          <w:rFonts w:hint="eastAsia" w:ascii="Times New Roman" w:hAnsi="Times New Roman" w:eastAsia="宋体" w:cs="Times New Roman"/>
          <w:kern w:val="2"/>
          <w:sz w:val="24"/>
          <w:szCs w:val="24"/>
          <w:lang w:val="en-US" w:eastAsia="zh-CN" w:bidi="ar-SA"/>
        </w:rPr>
        <w:t>投标函</w:t>
      </w:r>
    </w:p>
    <w:p w14:paraId="1FDE4728">
      <w:pPr>
        <w:pStyle w:val="6"/>
        <w:bidi w:val="0"/>
        <w:ind w:firstLine="480" w:firstLineChars="200"/>
        <w:rPr>
          <w:rFonts w:hint="eastAsia" w:ascii="Times New Roman" w:hAnsi="Times New Roman" w:eastAsia="宋体" w:cs="Times New Roman"/>
          <w:kern w:val="2"/>
          <w:sz w:val="24"/>
          <w:szCs w:val="24"/>
          <w:lang w:val="en-US" w:eastAsia="zh-CN" w:bidi="ar-SA"/>
        </w:rPr>
      </w:pPr>
      <w:r>
        <w:rPr>
          <w:rFonts w:hint="eastAsia"/>
        </w:rPr>
        <w:t>2、</w:t>
      </w:r>
      <w:r>
        <w:rPr>
          <w:rFonts w:hint="eastAsia" w:ascii="Times New Roman" w:hAnsi="Times New Roman" w:eastAsia="宋体" w:cs="Times New Roman"/>
          <w:kern w:val="2"/>
          <w:sz w:val="24"/>
          <w:szCs w:val="24"/>
          <w:lang w:val="en-US" w:eastAsia="zh-CN" w:bidi="ar-SA"/>
        </w:rPr>
        <w:t>投标分项报价表</w:t>
      </w:r>
    </w:p>
    <w:p w14:paraId="695FD62B">
      <w:pPr>
        <w:pStyle w:val="6"/>
        <w:bidi w:val="0"/>
        <w:ind w:firstLine="480" w:firstLineChars="20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3、营业执照复印件</w:t>
      </w:r>
    </w:p>
    <w:p w14:paraId="3C08C706">
      <w:pPr>
        <w:pStyle w:val="6"/>
        <w:bidi w:val="0"/>
        <w:ind w:firstLine="480" w:firstLineChars="20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4、法定代表人授权书</w:t>
      </w:r>
    </w:p>
    <w:p w14:paraId="13F0B724">
      <w:pPr>
        <w:pStyle w:val="6"/>
        <w:bidi w:val="0"/>
        <w:ind w:firstLine="480" w:firstLineChars="20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5、投标人概况</w:t>
      </w:r>
    </w:p>
    <w:p w14:paraId="29886C51">
      <w:pPr>
        <w:pStyle w:val="6"/>
        <w:bidi w:val="0"/>
        <w:ind w:firstLine="480" w:firstLineChars="20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6、投标人技术能力</w:t>
      </w:r>
    </w:p>
    <w:p w14:paraId="7E1F2E3E">
      <w:pPr>
        <w:pStyle w:val="6"/>
        <w:bidi w:val="0"/>
        <w:ind w:firstLine="480" w:firstLineChars="200"/>
        <w:rPr>
          <w:rFonts w:hint="default"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7、投标人财务状况</w:t>
      </w:r>
    </w:p>
    <w:p w14:paraId="0B1D5009">
      <w:pPr>
        <w:pStyle w:val="6"/>
        <w:bidi w:val="0"/>
        <w:ind w:firstLine="480" w:firstLineChars="200"/>
        <w:rPr>
          <w:rFonts w:hint="eastAsia"/>
        </w:rPr>
      </w:pPr>
      <w:r>
        <w:rPr>
          <w:rFonts w:hint="eastAsia"/>
        </w:rPr>
        <w:t>注：格式详见附件</w:t>
      </w:r>
    </w:p>
    <w:p w14:paraId="057566F0">
      <w:pPr>
        <w:pStyle w:val="6"/>
        <w:bidi w:val="0"/>
        <w:rPr>
          <w:rFonts w:hint="eastAsia" w:ascii="宋体" w:hAnsi="宋体" w:eastAsia="宋体" w:cs="Arial"/>
          <w:b/>
          <w:kern w:val="2"/>
          <w:sz w:val="28"/>
          <w:szCs w:val="24"/>
          <w:lang w:val="en-US" w:eastAsia="zh-CN" w:bidi="ar-SA"/>
        </w:rPr>
      </w:pPr>
      <w:r>
        <w:rPr>
          <w:rFonts w:hint="eastAsia" w:ascii="宋体" w:hAnsi="宋体" w:cs="Arial"/>
          <w:b/>
          <w:kern w:val="2"/>
          <w:sz w:val="28"/>
          <w:szCs w:val="24"/>
          <w:lang w:val="en-US" w:eastAsia="zh-CN" w:bidi="ar-SA"/>
        </w:rPr>
        <w:t>四</w:t>
      </w:r>
      <w:r>
        <w:rPr>
          <w:rFonts w:hint="eastAsia" w:ascii="宋体" w:hAnsi="宋体" w:eastAsia="宋体" w:cs="Arial"/>
          <w:b/>
          <w:kern w:val="2"/>
          <w:sz w:val="28"/>
          <w:szCs w:val="24"/>
          <w:lang w:val="en-US" w:eastAsia="zh-CN" w:bidi="ar-SA"/>
        </w:rPr>
        <w:t>、投标报价</w:t>
      </w:r>
    </w:p>
    <w:p w14:paraId="7EC64B89">
      <w:pPr>
        <w:pStyle w:val="6"/>
        <w:bidi w:val="0"/>
        <w:ind w:firstLine="480" w:firstLineChars="200"/>
        <w:rPr>
          <w:rFonts w:hint="eastAsia"/>
        </w:rPr>
      </w:pPr>
      <w:r>
        <w:rPr>
          <w:rFonts w:hint="eastAsia"/>
        </w:rPr>
        <w:t>1、投标人应报投标总价（不接受选择性报价），</w:t>
      </w:r>
      <w:r>
        <w:rPr>
          <w:rFonts w:hint="eastAsia"/>
          <w:lang w:val="en-US" w:eastAsia="zh-CN"/>
        </w:rPr>
        <w:t>包含本次咨询服务所有</w:t>
      </w:r>
      <w:r>
        <w:rPr>
          <w:rFonts w:hint="eastAsia"/>
        </w:rPr>
        <w:t>费用。对投标人所做的分项报价，</w:t>
      </w:r>
      <w:r>
        <w:rPr>
          <w:rFonts w:hint="eastAsia"/>
          <w:lang w:val="zh-CN"/>
        </w:rPr>
        <w:t>评委会将根据分项报价和总价综合考量，在投标人有足够条件中标的前提下，投标人同意招标人有权做项目删选。</w:t>
      </w:r>
    </w:p>
    <w:p w14:paraId="614C0898">
      <w:pPr>
        <w:pStyle w:val="6"/>
        <w:bidi w:val="0"/>
        <w:ind w:firstLine="480" w:firstLineChars="200"/>
        <w:rPr>
          <w:rFonts w:hint="eastAsia"/>
        </w:rPr>
      </w:pPr>
      <w:r>
        <w:rPr>
          <w:rFonts w:hint="eastAsia"/>
        </w:rPr>
        <w:t>2、所有投标均以人民币报价。</w:t>
      </w:r>
    </w:p>
    <w:p w14:paraId="11F50E34">
      <w:pPr>
        <w:pStyle w:val="6"/>
        <w:bidi w:val="0"/>
        <w:rPr>
          <w:rFonts w:hint="eastAsia" w:ascii="宋体" w:hAnsi="宋体" w:cs="Arial"/>
          <w:b/>
          <w:kern w:val="2"/>
          <w:sz w:val="28"/>
          <w:szCs w:val="24"/>
          <w:lang w:val="en-US" w:eastAsia="zh-CN" w:bidi="ar-SA"/>
        </w:rPr>
      </w:pPr>
      <w:r>
        <w:rPr>
          <w:rFonts w:hint="eastAsia" w:ascii="宋体" w:hAnsi="宋体" w:cs="Arial"/>
          <w:b/>
          <w:kern w:val="2"/>
          <w:sz w:val="28"/>
          <w:szCs w:val="24"/>
          <w:lang w:val="en-US" w:eastAsia="zh-CN" w:bidi="ar-SA"/>
        </w:rPr>
        <w:t>五、评标和定标</w:t>
      </w:r>
    </w:p>
    <w:p w14:paraId="2F81CEB2">
      <w:pPr>
        <w:pStyle w:val="6"/>
        <w:bidi w:val="0"/>
        <w:ind w:firstLine="480" w:firstLineChars="200"/>
        <w:rPr>
          <w:rFonts w:hint="eastAsia"/>
        </w:rPr>
      </w:pPr>
      <w:r>
        <w:rPr>
          <w:rFonts w:hint="eastAsia"/>
        </w:rPr>
        <w:t>招标人将遵照公平、公正原则，平等对待所有投标人，组织公司有关人员进行封闭式评标。评标从投标人的资质、服务质量、服务价格等多个方面进行综合评定，最终遴选出服务优、质量高、报价最合理的中标人。</w:t>
      </w:r>
    </w:p>
    <w:p w14:paraId="0963D9B3">
      <w:pPr>
        <w:pStyle w:val="6"/>
        <w:bidi w:val="0"/>
        <w:ind w:firstLine="480" w:firstLineChars="200"/>
        <w:rPr>
          <w:rFonts w:hint="eastAsia"/>
        </w:rPr>
      </w:pPr>
      <w:r>
        <w:rPr>
          <w:rFonts w:hint="eastAsia"/>
        </w:rPr>
        <w:t>中标单位确保提供文件有效、真实，并严格遵守有关法律法规，否则招标单位有权终止合同。评标完成后，招标人不向未中标方解释未中标原因，不退还投标文件。</w:t>
      </w:r>
    </w:p>
    <w:tbl>
      <w:tblPr>
        <w:tblStyle w:val="16"/>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54"/>
        <w:gridCol w:w="912"/>
        <w:gridCol w:w="6344"/>
      </w:tblGrid>
      <w:tr w14:paraId="2E0C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noWrap/>
            <w:vAlign w:val="center"/>
          </w:tcPr>
          <w:p w14:paraId="6AB3062C">
            <w:pPr>
              <w:widowControl/>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序号</w:t>
            </w:r>
          </w:p>
        </w:tc>
        <w:tc>
          <w:tcPr>
            <w:tcW w:w="1654" w:type="dxa"/>
            <w:shd w:val="clear" w:color="auto" w:fill="auto"/>
            <w:noWrap/>
            <w:vAlign w:val="center"/>
          </w:tcPr>
          <w:p w14:paraId="5426C3C4">
            <w:pPr>
              <w:widowControl/>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评分点名称</w:t>
            </w:r>
          </w:p>
        </w:tc>
        <w:tc>
          <w:tcPr>
            <w:tcW w:w="912" w:type="dxa"/>
            <w:shd w:val="clear" w:color="auto" w:fill="auto"/>
            <w:noWrap/>
            <w:vAlign w:val="center"/>
          </w:tcPr>
          <w:p w14:paraId="3931E152">
            <w:pPr>
              <w:widowControl/>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分值</w:t>
            </w:r>
          </w:p>
        </w:tc>
        <w:tc>
          <w:tcPr>
            <w:tcW w:w="6344" w:type="dxa"/>
            <w:shd w:val="clear" w:color="auto" w:fill="auto"/>
            <w:noWrap/>
            <w:vAlign w:val="center"/>
          </w:tcPr>
          <w:p w14:paraId="64C4831C">
            <w:pPr>
              <w:widowControl/>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评审标准</w:t>
            </w:r>
          </w:p>
        </w:tc>
      </w:tr>
      <w:tr w14:paraId="4906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1C23C82B">
            <w:pPr>
              <w:widowControl/>
              <w:spacing w:line="360" w:lineRule="auto"/>
              <w:jc w:val="center"/>
              <w:rPr>
                <w:rFonts w:hint="eastAsia" w:asciiTheme="minorEastAsia" w:hAnsiTheme="minorEastAsia" w:eastAsiaTheme="minorEastAsia" w:cstheme="minorEastAsia"/>
                <w:bCs/>
                <w:color w:val="000000"/>
                <w:kern w:val="0"/>
                <w:sz w:val="24"/>
                <w:szCs w:val="24"/>
                <w:highlight w:val="none"/>
              </w:rPr>
            </w:pPr>
            <w:r>
              <w:rPr>
                <w:rFonts w:hint="eastAsia" w:asciiTheme="minorEastAsia" w:hAnsiTheme="minorEastAsia" w:eastAsiaTheme="minorEastAsia" w:cstheme="minorEastAsia"/>
                <w:bCs/>
                <w:color w:val="000000"/>
                <w:kern w:val="0"/>
                <w:sz w:val="24"/>
                <w:szCs w:val="24"/>
                <w:highlight w:val="none"/>
              </w:rPr>
              <w:t>1</w:t>
            </w:r>
          </w:p>
        </w:tc>
        <w:tc>
          <w:tcPr>
            <w:tcW w:w="1654" w:type="dxa"/>
            <w:shd w:val="clear" w:color="auto" w:fill="auto"/>
            <w:vAlign w:val="center"/>
          </w:tcPr>
          <w:p w14:paraId="3B706207">
            <w:pPr>
              <w:widowControl/>
              <w:spacing w:line="360" w:lineRule="auto"/>
              <w:jc w:val="center"/>
              <w:rPr>
                <w:rFonts w:hint="default"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公司实力</w:t>
            </w:r>
          </w:p>
        </w:tc>
        <w:tc>
          <w:tcPr>
            <w:tcW w:w="912" w:type="dxa"/>
            <w:shd w:val="clear" w:color="auto" w:fill="auto"/>
            <w:vAlign w:val="center"/>
          </w:tcPr>
          <w:p w14:paraId="1EA8E082">
            <w:pPr>
              <w:widowControl/>
              <w:spacing w:line="360" w:lineRule="auto"/>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20</w:t>
            </w:r>
          </w:p>
        </w:tc>
        <w:tc>
          <w:tcPr>
            <w:tcW w:w="6344" w:type="dxa"/>
            <w:shd w:val="clear" w:color="auto" w:fill="auto"/>
            <w:vAlign w:val="center"/>
          </w:tcPr>
          <w:p w14:paraId="04F495AD">
            <w:pPr>
              <w:widowControl/>
              <w:numPr>
                <w:ilvl w:val="0"/>
                <w:numId w:val="0"/>
              </w:numPr>
              <w:spacing w:line="360" w:lineRule="auto"/>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①公司资质</w:t>
            </w:r>
          </w:p>
          <w:p w14:paraId="3930216D">
            <w:pPr>
              <w:widowControl/>
              <w:numPr>
                <w:ilvl w:val="0"/>
                <w:numId w:val="0"/>
              </w:numPr>
              <w:spacing w:line="360" w:lineRule="auto"/>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国家知识产权信息公共服务网点，8分</w:t>
            </w:r>
          </w:p>
          <w:p w14:paraId="0A941305">
            <w:pPr>
              <w:widowControl/>
              <w:numPr>
                <w:ilvl w:val="0"/>
                <w:numId w:val="0"/>
              </w:numPr>
              <w:spacing w:line="360" w:lineRule="auto"/>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江苏省知识产权信息公共服务网点，6分</w:t>
            </w:r>
          </w:p>
          <w:p w14:paraId="25A4ED2D">
            <w:pPr>
              <w:widowControl/>
              <w:numPr>
                <w:ilvl w:val="0"/>
                <w:numId w:val="0"/>
              </w:numPr>
              <w:spacing w:line="360" w:lineRule="auto"/>
              <w:ind w:leftChars="0"/>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②服务团队</w:t>
            </w:r>
          </w:p>
          <w:p w14:paraId="29889DE8">
            <w:pPr>
              <w:widowControl/>
              <w:spacing w:line="360" w:lineRule="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项目负责人拥有专利代理师及知识产权师及以上的，3分</w:t>
            </w:r>
          </w:p>
          <w:p w14:paraId="67AAA3A4">
            <w:pPr>
              <w:widowControl/>
              <w:spacing w:line="360" w:lineRule="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团队成员专利代理师1分/人，最高4分</w:t>
            </w:r>
          </w:p>
          <w:p w14:paraId="75F8555B">
            <w:pPr>
              <w:widowControl/>
              <w:spacing w:line="360" w:lineRule="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知识产权师证书1分/人，最高5分</w:t>
            </w:r>
          </w:p>
          <w:p w14:paraId="49D6773E">
            <w:pPr>
              <w:widowControl/>
              <w:numPr>
                <w:ilvl w:val="0"/>
                <w:numId w:val="0"/>
              </w:numPr>
              <w:spacing w:line="360" w:lineRule="auto"/>
              <w:ind w:leftChars="0"/>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注：提供相关批文、证书和社保证明</w:t>
            </w:r>
          </w:p>
        </w:tc>
      </w:tr>
      <w:tr w14:paraId="367A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23E0ED58">
            <w:pPr>
              <w:widowControl/>
              <w:spacing w:line="360" w:lineRule="auto"/>
              <w:jc w:val="center"/>
              <w:rPr>
                <w:rFonts w:hint="eastAsia" w:asciiTheme="minorEastAsia" w:hAnsiTheme="minorEastAsia" w:eastAsiaTheme="minorEastAsia" w:cstheme="minorEastAsia"/>
                <w:bCs/>
                <w:color w:val="000000"/>
                <w:kern w:val="0"/>
                <w:sz w:val="24"/>
                <w:szCs w:val="24"/>
                <w:highlight w:val="none"/>
                <w:lang w:val="en-US" w:eastAsia="zh-CN"/>
              </w:rPr>
            </w:pPr>
            <w:r>
              <w:rPr>
                <w:rFonts w:hint="eastAsia" w:asciiTheme="minorEastAsia" w:hAnsiTheme="minorEastAsia" w:eastAsiaTheme="minorEastAsia" w:cstheme="minorEastAsia"/>
                <w:bCs/>
                <w:color w:val="000000"/>
                <w:kern w:val="0"/>
                <w:sz w:val="24"/>
                <w:szCs w:val="24"/>
                <w:highlight w:val="none"/>
                <w:lang w:val="en-US" w:eastAsia="zh-CN"/>
              </w:rPr>
              <w:t>2</w:t>
            </w:r>
          </w:p>
        </w:tc>
        <w:tc>
          <w:tcPr>
            <w:tcW w:w="1654" w:type="dxa"/>
            <w:shd w:val="clear" w:color="auto" w:fill="auto"/>
            <w:vAlign w:val="center"/>
          </w:tcPr>
          <w:p w14:paraId="0D151C1F">
            <w:pPr>
              <w:widowControl/>
              <w:spacing w:line="360" w:lineRule="auto"/>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项目经验</w:t>
            </w:r>
          </w:p>
        </w:tc>
        <w:tc>
          <w:tcPr>
            <w:tcW w:w="912" w:type="dxa"/>
            <w:shd w:val="clear" w:color="auto" w:fill="auto"/>
            <w:vAlign w:val="center"/>
          </w:tcPr>
          <w:p w14:paraId="3025DFBA">
            <w:pPr>
              <w:widowControl/>
              <w:spacing w:line="360" w:lineRule="auto"/>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20</w:t>
            </w:r>
          </w:p>
        </w:tc>
        <w:tc>
          <w:tcPr>
            <w:tcW w:w="6344" w:type="dxa"/>
            <w:shd w:val="clear" w:color="auto" w:fill="auto"/>
            <w:vAlign w:val="center"/>
          </w:tcPr>
          <w:p w14:paraId="513B046D">
            <w:pPr>
              <w:widowControl/>
              <w:spacing w:line="360" w:lineRule="auto"/>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提供相关项目认定清单及立项情况。</w:t>
            </w:r>
          </w:p>
          <w:p w14:paraId="4FB5FBC1">
            <w:pPr>
              <w:widowControl/>
              <w:spacing w:line="360" w:lineRule="auto"/>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辅导业绩好的得20分，较好的得12分，一般的得5分，其余不得分。</w:t>
            </w:r>
          </w:p>
          <w:p w14:paraId="096AD71C">
            <w:pPr>
              <w:widowControl/>
              <w:spacing w:line="360" w:lineRule="auto"/>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住：提供相关的业绩证明</w:t>
            </w:r>
          </w:p>
        </w:tc>
      </w:tr>
      <w:tr w14:paraId="1C9A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313BB990">
            <w:pPr>
              <w:widowControl/>
              <w:spacing w:line="360" w:lineRule="auto"/>
              <w:jc w:val="center"/>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3</w:t>
            </w:r>
          </w:p>
        </w:tc>
        <w:tc>
          <w:tcPr>
            <w:tcW w:w="1654" w:type="dxa"/>
            <w:shd w:val="clear" w:color="auto" w:fill="auto"/>
            <w:vAlign w:val="center"/>
          </w:tcPr>
          <w:p w14:paraId="7F7F567D">
            <w:pPr>
              <w:widowControl/>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数据能力</w:t>
            </w:r>
          </w:p>
        </w:tc>
        <w:tc>
          <w:tcPr>
            <w:tcW w:w="912" w:type="dxa"/>
            <w:shd w:val="clear" w:color="auto" w:fill="auto"/>
            <w:vAlign w:val="center"/>
          </w:tcPr>
          <w:p w14:paraId="2A0EF9C2">
            <w:pPr>
              <w:widowControl/>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6344" w:type="dxa"/>
            <w:shd w:val="clear" w:color="auto" w:fill="auto"/>
            <w:vAlign w:val="center"/>
          </w:tcPr>
          <w:p w14:paraId="129E2C1A">
            <w:pPr>
              <w:widowControl/>
              <w:spacing w:line="360" w:lineRule="auto"/>
              <w:rPr>
                <w:rFonts w:hint="eastAsia" w:asciiTheme="minorEastAsia" w:hAnsiTheme="minorEastAsia" w:eastAsiaTheme="minorEastAsia" w:cstheme="minorEastAsia"/>
                <w:color w:val="000000"/>
                <w:kern w:val="0"/>
                <w:sz w:val="24"/>
                <w:szCs w:val="24"/>
              </w:rPr>
            </w:pPr>
            <w:r>
              <w:rPr>
                <w:rFonts w:hint="default" w:ascii="Calibri" w:hAnsi="Calibri" w:cs="Calibri" w:eastAsiaTheme="minorEastAsia"/>
                <w:color w:val="000000"/>
                <w:kern w:val="0"/>
                <w:sz w:val="24"/>
                <w:szCs w:val="24"/>
              </w:rPr>
              <w:t>①</w:t>
            </w:r>
            <w:r>
              <w:rPr>
                <w:rFonts w:hint="eastAsia" w:asciiTheme="minorEastAsia" w:hAnsiTheme="minorEastAsia" w:eastAsiaTheme="minorEastAsia" w:cstheme="minorEastAsia"/>
                <w:color w:val="000000"/>
                <w:kern w:val="0"/>
                <w:sz w:val="24"/>
                <w:szCs w:val="24"/>
              </w:rPr>
              <w:t>拥有知识产权商业数据库资源的，每提供一份合同得</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分，最高</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分</w:t>
            </w:r>
          </w:p>
          <w:p w14:paraId="2DA2477F">
            <w:pPr>
              <w:widowControl/>
              <w:spacing w:line="360" w:lineRule="auto"/>
              <w:rPr>
                <w:rFonts w:hint="eastAsia" w:asciiTheme="minorEastAsia" w:hAnsiTheme="minorEastAsia" w:eastAsiaTheme="minorEastAsia" w:cstheme="minorEastAsia"/>
                <w:color w:val="000000"/>
                <w:kern w:val="0"/>
                <w:sz w:val="24"/>
                <w:szCs w:val="24"/>
              </w:rPr>
            </w:pPr>
            <w:r>
              <w:rPr>
                <w:rFonts w:hint="default" w:ascii="Calibri" w:hAnsi="Calibri" w:cs="Calibri" w:eastAsiaTheme="minorEastAsia"/>
                <w:color w:val="000000"/>
                <w:kern w:val="0"/>
                <w:sz w:val="24"/>
                <w:szCs w:val="24"/>
              </w:rPr>
              <w:t>②</w:t>
            </w:r>
            <w:r>
              <w:rPr>
                <w:rFonts w:hint="eastAsia" w:asciiTheme="minorEastAsia" w:hAnsiTheme="minorEastAsia" w:eastAsiaTheme="minorEastAsia" w:cstheme="minorEastAsia"/>
                <w:color w:val="000000"/>
                <w:kern w:val="0"/>
                <w:sz w:val="24"/>
                <w:szCs w:val="24"/>
              </w:rPr>
              <w:t>拥有非专利文献数据的，</w:t>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分</w:t>
            </w:r>
          </w:p>
          <w:p w14:paraId="25290C75">
            <w:pPr>
              <w:widowControl/>
              <w:spacing w:line="360" w:lineRule="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rPr>
              <w:t>注：须提供合同复印件或相关证明材料并加盖公章</w:t>
            </w:r>
          </w:p>
        </w:tc>
      </w:tr>
      <w:tr w14:paraId="1874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563ED999">
            <w:pPr>
              <w:widowControl/>
              <w:spacing w:line="360" w:lineRule="auto"/>
              <w:jc w:val="center"/>
              <w:rPr>
                <w:rFonts w:hint="eastAsia" w:asciiTheme="minorEastAsia" w:hAnsiTheme="minorEastAsia" w:eastAsiaTheme="minorEastAsia" w:cstheme="minorEastAsia"/>
                <w:bCs/>
                <w:color w:val="000000"/>
                <w:kern w:val="0"/>
                <w:sz w:val="24"/>
                <w:szCs w:val="24"/>
                <w:lang w:eastAsia="zh-CN"/>
              </w:rPr>
            </w:pPr>
            <w:r>
              <w:rPr>
                <w:rFonts w:hint="eastAsia" w:asciiTheme="minorEastAsia" w:hAnsiTheme="minorEastAsia" w:eastAsiaTheme="minorEastAsia" w:cstheme="minorEastAsia"/>
                <w:bCs/>
                <w:color w:val="000000"/>
                <w:kern w:val="0"/>
                <w:sz w:val="24"/>
                <w:szCs w:val="24"/>
                <w:lang w:val="en-US" w:eastAsia="zh-CN"/>
              </w:rPr>
              <w:t>4</w:t>
            </w:r>
          </w:p>
        </w:tc>
        <w:tc>
          <w:tcPr>
            <w:tcW w:w="1654" w:type="dxa"/>
            <w:shd w:val="clear" w:color="auto" w:fill="auto"/>
            <w:vAlign w:val="center"/>
          </w:tcPr>
          <w:p w14:paraId="125C6DD7">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实施方案</w:t>
            </w:r>
          </w:p>
        </w:tc>
        <w:tc>
          <w:tcPr>
            <w:tcW w:w="912" w:type="dxa"/>
            <w:shd w:val="clear" w:color="auto" w:fill="auto"/>
            <w:vAlign w:val="center"/>
          </w:tcPr>
          <w:p w14:paraId="6B195783">
            <w:pPr>
              <w:widowControl/>
              <w:spacing w:line="360" w:lineRule="auto"/>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15</w:t>
            </w:r>
          </w:p>
        </w:tc>
        <w:tc>
          <w:tcPr>
            <w:tcW w:w="6344" w:type="dxa"/>
            <w:shd w:val="clear" w:color="auto" w:fill="auto"/>
            <w:vAlign w:val="center"/>
          </w:tcPr>
          <w:p w14:paraId="0ABD5030">
            <w:pPr>
              <w:widowControl/>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能提供完整的实施计划、组织方案、进度安排等，投标方案的实施计划、组织方案、进度安排等，方案完整、可操作性强得</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分；方案稍有欠缺的得1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分；方案一般的得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分；未提供方案的不得分。</w:t>
            </w:r>
          </w:p>
        </w:tc>
      </w:tr>
      <w:tr w14:paraId="70F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1774EE73">
            <w:pPr>
              <w:widowControl/>
              <w:spacing w:line="360" w:lineRule="auto"/>
              <w:jc w:val="center"/>
              <w:rPr>
                <w:rFonts w:hint="eastAsia" w:asciiTheme="minorEastAsia" w:hAnsiTheme="minorEastAsia" w:eastAsiaTheme="minorEastAsia" w:cstheme="minorEastAsia"/>
                <w:bCs/>
                <w:color w:val="000000"/>
                <w:kern w:val="0"/>
                <w:sz w:val="24"/>
                <w:szCs w:val="24"/>
                <w:lang w:eastAsia="zh-CN"/>
              </w:rPr>
            </w:pPr>
            <w:r>
              <w:rPr>
                <w:rFonts w:hint="eastAsia" w:asciiTheme="minorEastAsia" w:hAnsiTheme="minorEastAsia" w:eastAsiaTheme="minorEastAsia" w:cstheme="minorEastAsia"/>
                <w:bCs/>
                <w:color w:val="000000"/>
                <w:kern w:val="0"/>
                <w:sz w:val="24"/>
                <w:szCs w:val="24"/>
                <w:lang w:val="en-US" w:eastAsia="zh-CN"/>
              </w:rPr>
              <w:t>5</w:t>
            </w:r>
          </w:p>
        </w:tc>
        <w:tc>
          <w:tcPr>
            <w:tcW w:w="1654" w:type="dxa"/>
            <w:shd w:val="clear" w:color="auto" w:fill="auto"/>
            <w:vAlign w:val="center"/>
          </w:tcPr>
          <w:p w14:paraId="4DD9C8FC">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kern w:val="0"/>
                <w:sz w:val="24"/>
                <w:szCs w:val="24"/>
              </w:rPr>
              <w:t>服务方案</w:t>
            </w:r>
          </w:p>
        </w:tc>
        <w:tc>
          <w:tcPr>
            <w:tcW w:w="912" w:type="dxa"/>
            <w:shd w:val="clear" w:color="auto" w:fill="auto"/>
            <w:vAlign w:val="center"/>
          </w:tcPr>
          <w:p w14:paraId="557EF3C7">
            <w:pPr>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6344" w:type="dxa"/>
            <w:shd w:val="clear" w:color="auto" w:fill="auto"/>
            <w:vAlign w:val="center"/>
          </w:tcPr>
          <w:p w14:paraId="1653D92F">
            <w:pPr>
              <w:widowControl/>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根据供应商对本项目的理解程度进行评价：对项目非常了解和熟悉，对本项目的重点难点分析到位，提出的应对措施和合理化建议方案完善，可行性、针对性非常强的，得1</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分；对项目比较了解和熟悉，对本项目的重点难点分析比较到位，提出的应对措施和合理化建议方案较完善，可行性、针对性较强的，得</w:t>
            </w:r>
            <w:r>
              <w:rPr>
                <w:rFonts w:hint="eastAsia" w:asciiTheme="minorEastAsia" w:hAnsiTheme="minorEastAsia" w:eastAsiaTheme="minorEastAsia" w:cstheme="minorEastAsia"/>
                <w:color w:val="000000"/>
                <w:kern w:val="0"/>
                <w:sz w:val="24"/>
                <w:szCs w:val="24"/>
                <w:lang w:val="en-US" w:eastAsia="zh-CN"/>
              </w:rPr>
              <w:t>10</w:t>
            </w:r>
            <w:r>
              <w:rPr>
                <w:rFonts w:hint="eastAsia" w:asciiTheme="minorEastAsia" w:hAnsiTheme="minorEastAsia" w:eastAsiaTheme="minorEastAsia" w:cstheme="minorEastAsia"/>
                <w:color w:val="000000"/>
                <w:kern w:val="0"/>
                <w:sz w:val="24"/>
                <w:szCs w:val="24"/>
              </w:rPr>
              <w:t>分；对项目不太了解和熟悉，对本项目的重点难点分析不到位，提出的应对措施和合理化建议方案较不够完善，可行性、针对性不强的，得</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分；</w:t>
            </w:r>
            <w:r>
              <w:rPr>
                <w:rFonts w:hint="eastAsia" w:asciiTheme="minorEastAsia" w:hAnsiTheme="minorEastAsia" w:eastAsiaTheme="minorEastAsia" w:cstheme="minorEastAsia"/>
                <w:sz w:val="24"/>
                <w:szCs w:val="24"/>
              </w:rPr>
              <w:t>未提供方案的不得分。</w:t>
            </w:r>
          </w:p>
        </w:tc>
      </w:tr>
      <w:tr w14:paraId="556B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60BA47EF">
            <w:pPr>
              <w:widowControl/>
              <w:spacing w:line="360" w:lineRule="auto"/>
              <w:jc w:val="center"/>
              <w:rPr>
                <w:rFonts w:hint="default"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6</w:t>
            </w:r>
          </w:p>
        </w:tc>
        <w:tc>
          <w:tcPr>
            <w:tcW w:w="1654" w:type="dxa"/>
            <w:shd w:val="clear" w:color="auto" w:fill="auto"/>
            <w:vAlign w:val="center"/>
          </w:tcPr>
          <w:p w14:paraId="12860E0B">
            <w:pPr>
              <w:widowControl/>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价格分</w:t>
            </w:r>
          </w:p>
        </w:tc>
        <w:tc>
          <w:tcPr>
            <w:tcW w:w="912" w:type="dxa"/>
            <w:shd w:val="clear" w:color="auto" w:fill="auto"/>
            <w:vAlign w:val="center"/>
          </w:tcPr>
          <w:p w14:paraId="2B4BC054">
            <w:pPr>
              <w:widowControl/>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6344" w:type="dxa"/>
            <w:shd w:val="clear" w:color="auto" w:fill="auto"/>
            <w:vAlign w:val="center"/>
          </w:tcPr>
          <w:p w14:paraId="3B0440D1">
            <w:pPr>
              <w:widowControl/>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价格分统一采用低价优先法计算，即满足</w:t>
            </w:r>
            <w:r>
              <w:rPr>
                <w:rFonts w:hint="eastAsia" w:asciiTheme="minorEastAsia" w:hAnsiTheme="minorEastAsia" w:eastAsiaTheme="minorEastAsia" w:cstheme="minorEastAsia"/>
                <w:color w:val="000000"/>
                <w:kern w:val="0"/>
                <w:sz w:val="24"/>
                <w:szCs w:val="24"/>
                <w:lang w:val="en-US" w:eastAsia="zh-CN"/>
              </w:rPr>
              <w:t>招标</w:t>
            </w:r>
            <w:r>
              <w:rPr>
                <w:rFonts w:hint="eastAsia" w:asciiTheme="minorEastAsia" w:hAnsiTheme="minorEastAsia" w:eastAsiaTheme="minorEastAsia" w:cstheme="minorEastAsia"/>
                <w:color w:val="000000"/>
                <w:kern w:val="0"/>
                <w:sz w:val="24"/>
                <w:szCs w:val="24"/>
              </w:rPr>
              <w:t>文件要求且最后报价最低的供应商的价格为</w:t>
            </w:r>
            <w:r>
              <w:rPr>
                <w:rFonts w:hint="eastAsia" w:asciiTheme="minorEastAsia" w:hAnsiTheme="minorEastAsia" w:eastAsiaTheme="minorEastAsia" w:cstheme="minorEastAsia"/>
                <w:color w:val="000000"/>
                <w:kern w:val="0"/>
                <w:sz w:val="24"/>
                <w:szCs w:val="24"/>
                <w:lang w:val="en-US" w:eastAsia="zh-CN"/>
              </w:rPr>
              <w:t>评标</w:t>
            </w:r>
            <w:r>
              <w:rPr>
                <w:rFonts w:hint="eastAsia" w:asciiTheme="minorEastAsia" w:hAnsiTheme="minorEastAsia" w:eastAsiaTheme="minorEastAsia" w:cstheme="minorEastAsia"/>
                <w:color w:val="000000"/>
                <w:kern w:val="0"/>
                <w:sz w:val="24"/>
                <w:szCs w:val="24"/>
              </w:rPr>
              <w:t>基准价，其价格分为满分。其他供应商的价格分统一按照下列公式计算：</w:t>
            </w:r>
          </w:p>
          <w:p w14:paraId="52A1622C">
            <w:pPr>
              <w:widowControl/>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报价得分=（</w:t>
            </w:r>
            <w:r>
              <w:rPr>
                <w:rFonts w:hint="eastAsia" w:asciiTheme="minorEastAsia" w:hAnsiTheme="minorEastAsia" w:eastAsiaTheme="minorEastAsia" w:cstheme="minorEastAsia"/>
                <w:color w:val="000000"/>
                <w:kern w:val="0"/>
                <w:sz w:val="24"/>
                <w:szCs w:val="24"/>
                <w:lang w:val="en-US" w:eastAsia="zh-CN"/>
              </w:rPr>
              <w:t>评标</w:t>
            </w:r>
            <w:r>
              <w:rPr>
                <w:rFonts w:hint="eastAsia" w:asciiTheme="minorEastAsia" w:hAnsiTheme="minorEastAsia" w:eastAsiaTheme="minorEastAsia" w:cstheme="minorEastAsia"/>
                <w:color w:val="000000"/>
                <w:kern w:val="0"/>
                <w:sz w:val="24"/>
                <w:szCs w:val="24"/>
              </w:rPr>
              <w:t>基准价/最后</w:t>
            </w:r>
            <w:r>
              <w:rPr>
                <w:rFonts w:hint="eastAsia" w:asciiTheme="minorEastAsia" w:hAnsiTheme="minorEastAsia" w:eastAsiaTheme="minorEastAsia" w:cstheme="minorEastAsia"/>
                <w:color w:val="000000"/>
                <w:kern w:val="0"/>
                <w:sz w:val="24"/>
                <w:szCs w:val="24"/>
                <w:lang w:val="en-US" w:eastAsia="zh-CN"/>
              </w:rPr>
              <w:t>评标</w:t>
            </w:r>
            <w:r>
              <w:rPr>
                <w:rFonts w:hint="eastAsia" w:asciiTheme="minorEastAsia" w:hAnsiTheme="minorEastAsia" w:eastAsiaTheme="minorEastAsia" w:cstheme="minorEastAsia"/>
                <w:color w:val="000000"/>
                <w:kern w:val="0"/>
                <w:sz w:val="24"/>
                <w:szCs w:val="24"/>
              </w:rPr>
              <w:t>报价）×价格权值×100</w:t>
            </w:r>
          </w:p>
        </w:tc>
      </w:tr>
    </w:tbl>
    <w:p w14:paraId="1358AF64">
      <w:pPr>
        <w:rPr>
          <w:sz w:val="30"/>
          <w:szCs w:val="30"/>
        </w:rPr>
      </w:pPr>
    </w:p>
    <w:p w14:paraId="46638683">
      <w:pPr>
        <w:rPr>
          <w:sz w:val="30"/>
          <w:szCs w:val="30"/>
        </w:rPr>
      </w:pPr>
      <w:r>
        <w:rPr>
          <w:sz w:val="30"/>
          <w:szCs w:val="30"/>
        </w:rPr>
        <w:br w:type="page"/>
      </w:r>
    </w:p>
    <w:p w14:paraId="4DA0971F">
      <w:pPr>
        <w:rPr>
          <w:sz w:val="30"/>
          <w:szCs w:val="30"/>
        </w:rPr>
      </w:pPr>
      <w:r>
        <w:rPr>
          <w:sz w:val="30"/>
          <w:szCs w:val="30"/>
        </w:rPr>
        <w:t>附件</w:t>
      </w:r>
    </w:p>
    <w:p w14:paraId="07801936">
      <w:pPr>
        <w:spacing w:line="360" w:lineRule="auto"/>
        <w:jc w:val="center"/>
        <w:rPr>
          <w:rFonts w:eastAsia="黑体"/>
          <w:b/>
          <w:bCs/>
          <w:sz w:val="32"/>
          <w:szCs w:val="32"/>
        </w:rPr>
      </w:pPr>
      <w:r>
        <w:rPr>
          <w:rFonts w:eastAsia="黑体"/>
          <w:b/>
          <w:bCs/>
          <w:sz w:val="32"/>
          <w:szCs w:val="32"/>
        </w:rPr>
        <w:t>投标函</w:t>
      </w:r>
    </w:p>
    <w:p w14:paraId="12B9956F">
      <w:pPr>
        <w:spacing w:line="360" w:lineRule="auto"/>
        <w:rPr>
          <w:sz w:val="24"/>
        </w:rPr>
      </w:pPr>
      <w:r>
        <w:rPr>
          <w:sz w:val="24"/>
        </w:rPr>
        <w:t>致</w:t>
      </w:r>
      <w:r>
        <w:rPr>
          <w:sz w:val="24"/>
          <w:u w:val="single"/>
        </w:rPr>
        <w:t>（招标</w:t>
      </w:r>
      <w:r>
        <w:rPr>
          <w:rFonts w:hint="eastAsia"/>
          <w:sz w:val="24"/>
          <w:u w:val="single"/>
          <w:lang w:val="en-US" w:eastAsia="zh-CN"/>
        </w:rPr>
        <w:t>单位</w:t>
      </w:r>
      <w:r>
        <w:rPr>
          <w:sz w:val="24"/>
          <w:u w:val="single"/>
        </w:rPr>
        <w:t>）</w:t>
      </w:r>
      <w:r>
        <w:rPr>
          <w:sz w:val="24"/>
        </w:rPr>
        <w:t>：</w:t>
      </w:r>
    </w:p>
    <w:p w14:paraId="4978199B">
      <w:pPr>
        <w:spacing w:line="360" w:lineRule="auto"/>
        <w:ind w:firstLine="480" w:firstLineChars="200"/>
        <w:rPr>
          <w:sz w:val="24"/>
        </w:rPr>
      </w:pPr>
      <w:r>
        <w:rPr>
          <w:sz w:val="24"/>
        </w:rPr>
        <w:t>你们</w:t>
      </w:r>
      <w:r>
        <w:rPr>
          <w:sz w:val="24"/>
          <w:u w:val="single"/>
        </w:rPr>
        <w:t>（</w:t>
      </w:r>
      <w:r>
        <w:rPr>
          <w:rFonts w:hint="eastAsia"/>
          <w:sz w:val="24"/>
          <w:u w:val="single"/>
          <w:lang w:val="en-US" w:eastAsia="zh-CN"/>
        </w:rPr>
        <w:t>项目名称</w:t>
      </w:r>
      <w:r>
        <w:rPr>
          <w:sz w:val="24"/>
          <w:u w:val="single"/>
        </w:rPr>
        <w:t>）</w:t>
      </w:r>
      <w:r>
        <w:rPr>
          <w:sz w:val="24"/>
        </w:rPr>
        <w:t>招标文件（包括补充文件、如果有的话）收悉，我们经详细审阅和研究，现决定参加投标。</w:t>
      </w:r>
    </w:p>
    <w:p w14:paraId="6CAFAECF">
      <w:pPr>
        <w:spacing w:line="360" w:lineRule="auto"/>
        <w:ind w:left="899" w:leftChars="228" w:hanging="420" w:hangingChars="175"/>
        <w:rPr>
          <w:sz w:val="24"/>
        </w:rPr>
      </w:pPr>
      <w:r>
        <w:rPr>
          <w:sz w:val="24"/>
        </w:rPr>
        <w:t>1、我们愿按照招标文件中的条款、要求，提供所需的招标及一切相关的服务，投标总价为</w:t>
      </w:r>
      <w:r>
        <w:rPr>
          <w:sz w:val="24"/>
          <w:u w:val="single"/>
        </w:rPr>
        <w:t>（币种及金额）</w:t>
      </w:r>
      <w:r>
        <w:rPr>
          <w:sz w:val="24"/>
        </w:rPr>
        <w:t>。</w:t>
      </w:r>
    </w:p>
    <w:p w14:paraId="7B90DA16">
      <w:pPr>
        <w:spacing w:line="360" w:lineRule="auto"/>
        <w:ind w:firstLine="480" w:firstLineChars="200"/>
        <w:rPr>
          <w:sz w:val="24"/>
        </w:rPr>
      </w:pPr>
      <w:r>
        <w:rPr>
          <w:sz w:val="24"/>
        </w:rPr>
        <w:t>2、如果我们中标，我们将在之后的天内</w:t>
      </w:r>
      <w:r>
        <w:rPr>
          <w:rFonts w:hint="eastAsia"/>
          <w:sz w:val="24"/>
          <w:lang w:val="en-US" w:eastAsia="zh-CN"/>
        </w:rPr>
        <w:t>提供服务</w:t>
      </w:r>
      <w:r>
        <w:rPr>
          <w:sz w:val="24"/>
        </w:rPr>
        <w:t>。</w:t>
      </w:r>
    </w:p>
    <w:p w14:paraId="2E977F1D">
      <w:pPr>
        <w:spacing w:line="360" w:lineRule="auto"/>
        <w:ind w:left="899" w:leftChars="228" w:hanging="420" w:hangingChars="175"/>
        <w:rPr>
          <w:sz w:val="24"/>
        </w:rPr>
      </w:pPr>
      <w:r>
        <w:rPr>
          <w:sz w:val="24"/>
        </w:rPr>
        <w:t>3、我们同意按照招标文件的规定，本投标文件的有效期为从开标日期起计算的九十天，在此期间，本投标文件将始终对我们具有约束力，并可随时被接受。如果我们中标，本投标文件在此期间之后将继续保持有效，直至合同生效。</w:t>
      </w:r>
    </w:p>
    <w:p w14:paraId="7821E4E3">
      <w:pPr>
        <w:spacing w:line="360" w:lineRule="auto"/>
        <w:ind w:firstLine="480" w:firstLineChars="200"/>
        <w:rPr>
          <w:sz w:val="24"/>
        </w:rPr>
      </w:pPr>
      <w:r>
        <w:rPr>
          <w:sz w:val="24"/>
        </w:rPr>
        <w:t>4、我们同意提供招标机构要求的有关本次招标的所有资料。</w:t>
      </w:r>
    </w:p>
    <w:p w14:paraId="0664F1E8">
      <w:pPr>
        <w:spacing w:line="360" w:lineRule="auto"/>
        <w:ind w:left="899" w:leftChars="228" w:hanging="420" w:hangingChars="175"/>
        <w:rPr>
          <w:sz w:val="24"/>
        </w:rPr>
      </w:pPr>
      <w:r>
        <w:rPr>
          <w:sz w:val="24"/>
        </w:rPr>
        <w:t>5、我们理解，你们无义务必须接受投标价最低的投标，并有权拒绝所有的投标。</w:t>
      </w:r>
    </w:p>
    <w:p w14:paraId="3632FFF4">
      <w:pPr>
        <w:spacing w:line="360" w:lineRule="auto"/>
        <w:ind w:firstLine="720" w:firstLineChars="300"/>
        <w:rPr>
          <w:sz w:val="24"/>
        </w:rPr>
      </w:pPr>
    </w:p>
    <w:p w14:paraId="6A9C2348">
      <w:pPr>
        <w:spacing w:line="360" w:lineRule="auto"/>
        <w:ind w:firstLine="720" w:firstLineChars="300"/>
        <w:rPr>
          <w:sz w:val="24"/>
        </w:rPr>
      </w:pPr>
    </w:p>
    <w:p w14:paraId="4ACAE72A">
      <w:pPr>
        <w:spacing w:line="360" w:lineRule="auto"/>
        <w:ind w:firstLine="720" w:firstLineChars="300"/>
        <w:rPr>
          <w:sz w:val="24"/>
        </w:rPr>
      </w:pPr>
      <w:r>
        <w:rPr>
          <w:sz w:val="24"/>
        </w:rPr>
        <w:t>投标人名称：</w:t>
      </w:r>
    </w:p>
    <w:p w14:paraId="28F6477F">
      <w:pPr>
        <w:spacing w:line="360" w:lineRule="auto"/>
        <w:ind w:firstLine="480" w:firstLineChars="200"/>
        <w:rPr>
          <w:sz w:val="24"/>
        </w:rPr>
      </w:pPr>
      <w:r>
        <w:rPr>
          <w:sz w:val="24"/>
        </w:rPr>
        <w:t>（请加盖公章）</w:t>
      </w:r>
    </w:p>
    <w:p w14:paraId="5A909B59">
      <w:pPr>
        <w:spacing w:line="360" w:lineRule="auto"/>
        <w:ind w:firstLine="720" w:firstLineChars="300"/>
        <w:rPr>
          <w:sz w:val="24"/>
        </w:rPr>
      </w:pPr>
    </w:p>
    <w:p w14:paraId="41549675">
      <w:pPr>
        <w:spacing w:line="360" w:lineRule="auto"/>
        <w:ind w:firstLine="720" w:firstLineChars="300"/>
        <w:rPr>
          <w:sz w:val="24"/>
        </w:rPr>
      </w:pPr>
      <w:r>
        <w:rPr>
          <w:sz w:val="24"/>
        </w:rPr>
        <w:t>授权代表签字：</w:t>
      </w:r>
    </w:p>
    <w:p w14:paraId="6F594545">
      <w:pPr>
        <w:spacing w:line="360" w:lineRule="auto"/>
        <w:ind w:firstLine="720" w:firstLineChars="300"/>
        <w:rPr>
          <w:sz w:val="24"/>
        </w:rPr>
      </w:pPr>
      <w:r>
        <w:rPr>
          <w:sz w:val="24"/>
        </w:rPr>
        <w:t>职务：</w:t>
      </w:r>
    </w:p>
    <w:p w14:paraId="32502488">
      <w:pPr>
        <w:spacing w:line="360" w:lineRule="auto"/>
        <w:ind w:firstLine="720" w:firstLineChars="300"/>
        <w:rPr>
          <w:sz w:val="24"/>
        </w:rPr>
      </w:pPr>
      <w:r>
        <w:rPr>
          <w:sz w:val="24"/>
        </w:rPr>
        <w:t>手机：</w:t>
      </w:r>
    </w:p>
    <w:p w14:paraId="5F7B00AE">
      <w:pPr>
        <w:spacing w:line="360" w:lineRule="auto"/>
        <w:ind w:firstLine="720" w:firstLineChars="300"/>
        <w:rPr>
          <w:sz w:val="24"/>
        </w:rPr>
      </w:pPr>
      <w:r>
        <w:rPr>
          <w:sz w:val="24"/>
        </w:rPr>
        <w:t>固话：</w:t>
      </w:r>
    </w:p>
    <w:p w14:paraId="7BC9F91D">
      <w:pPr>
        <w:spacing w:line="360" w:lineRule="auto"/>
        <w:ind w:firstLine="720" w:firstLineChars="300"/>
        <w:rPr>
          <w:sz w:val="24"/>
        </w:rPr>
      </w:pPr>
      <w:r>
        <w:rPr>
          <w:sz w:val="24"/>
        </w:rPr>
        <w:t>传真：</w:t>
      </w:r>
    </w:p>
    <w:p w14:paraId="58485EA0">
      <w:pPr>
        <w:spacing w:line="360" w:lineRule="auto"/>
        <w:ind w:firstLine="720" w:firstLineChars="300"/>
        <w:rPr>
          <w:sz w:val="24"/>
        </w:rPr>
      </w:pPr>
      <w:r>
        <w:rPr>
          <w:sz w:val="24"/>
        </w:rPr>
        <w:t>地址：</w:t>
      </w:r>
    </w:p>
    <w:p w14:paraId="0BEEFD44">
      <w:pPr>
        <w:spacing w:line="360" w:lineRule="auto"/>
        <w:ind w:firstLine="720" w:firstLineChars="300"/>
        <w:rPr>
          <w:sz w:val="24"/>
        </w:rPr>
      </w:pPr>
      <w:r>
        <w:rPr>
          <w:sz w:val="24"/>
        </w:rPr>
        <w:t>邮箱：</w:t>
      </w:r>
    </w:p>
    <w:p w14:paraId="4C24CEF8">
      <w:pPr>
        <w:spacing w:line="360" w:lineRule="auto"/>
        <w:ind w:firstLine="720" w:firstLineChars="300"/>
        <w:rPr>
          <w:sz w:val="24"/>
        </w:rPr>
      </w:pPr>
      <w:r>
        <w:rPr>
          <w:sz w:val="24"/>
        </w:rPr>
        <w:t>日期：</w:t>
      </w:r>
    </w:p>
    <w:p w14:paraId="4721C92D">
      <w:r>
        <w:br w:type="page"/>
      </w:r>
    </w:p>
    <w:p w14:paraId="5141D66C">
      <w:pPr>
        <w:spacing w:line="360" w:lineRule="auto"/>
        <w:jc w:val="center"/>
        <w:rPr>
          <w:rFonts w:eastAsia="黑体"/>
          <w:b/>
          <w:bCs/>
          <w:sz w:val="32"/>
          <w:szCs w:val="32"/>
          <w:highlight w:val="none"/>
        </w:rPr>
      </w:pPr>
      <w:r>
        <w:rPr>
          <w:rFonts w:hint="eastAsia" w:eastAsia="黑体"/>
          <w:b/>
          <w:bCs/>
          <w:sz w:val="32"/>
          <w:szCs w:val="32"/>
          <w:lang w:val="en-US" w:eastAsia="zh-CN"/>
        </w:rPr>
        <w:t>投标分项报价</w:t>
      </w:r>
      <w:r>
        <w:rPr>
          <w:rFonts w:eastAsia="黑体"/>
          <w:b/>
          <w:bCs/>
          <w:sz w:val="32"/>
          <w:szCs w:val="32"/>
          <w:highlight w:val="none"/>
        </w:rPr>
        <w:t>表</w:t>
      </w:r>
    </w:p>
    <w:p w14:paraId="06E10248">
      <w:pPr>
        <w:spacing w:line="360" w:lineRule="auto"/>
        <w:jc w:val="left"/>
        <w:rPr>
          <w:sz w:val="24"/>
        </w:rPr>
      </w:pPr>
      <w:r>
        <w:rPr>
          <w:sz w:val="24"/>
        </w:rPr>
        <w:t>投标人名称：</w:t>
      </w:r>
      <w:r>
        <w:rPr>
          <w:rFonts w:hint="eastAsia"/>
          <w:sz w:val="24"/>
        </w:rPr>
        <w:t xml:space="preserve">          </w:t>
      </w:r>
      <w:r>
        <w:rPr>
          <w:rFonts w:hint="eastAsia"/>
          <w:sz w:val="24"/>
          <w:lang w:val="en-US" w:eastAsia="zh-CN"/>
        </w:rPr>
        <w:t xml:space="preserve">       招标编号：</w:t>
      </w:r>
      <w:r>
        <w:rPr>
          <w:rFonts w:hint="eastAsia"/>
          <w:sz w:val="24"/>
        </w:rPr>
        <w:t xml:space="preserve">                 </w:t>
      </w:r>
      <w:r>
        <w:rPr>
          <w:sz w:val="24"/>
        </w:rPr>
        <w:t>人民币：元</w:t>
      </w:r>
    </w:p>
    <w:tbl>
      <w:tblPr>
        <w:tblStyle w:val="17"/>
        <w:tblW w:w="52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4260"/>
        <w:gridCol w:w="1783"/>
        <w:gridCol w:w="1797"/>
      </w:tblGrid>
      <w:tr w14:paraId="20CD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84" w:type="pct"/>
            <w:vAlign w:val="center"/>
          </w:tcPr>
          <w:p w14:paraId="26999DA5">
            <w:pPr>
              <w:spacing w:line="360" w:lineRule="auto"/>
              <w:jc w:val="center"/>
              <w:rPr>
                <w:rFonts w:hint="eastAsia" w:eastAsia="宋体"/>
                <w:sz w:val="24"/>
                <w:vertAlign w:val="baseline"/>
                <w:lang w:val="en-US" w:eastAsia="zh-CN"/>
              </w:rPr>
            </w:pPr>
            <w:r>
              <w:rPr>
                <w:rFonts w:hint="eastAsia"/>
                <w:sz w:val="24"/>
                <w:vertAlign w:val="baseline"/>
                <w:lang w:val="en-US" w:eastAsia="zh-CN"/>
              </w:rPr>
              <w:t>序号</w:t>
            </w:r>
          </w:p>
        </w:tc>
        <w:tc>
          <w:tcPr>
            <w:tcW w:w="2399" w:type="pct"/>
            <w:vAlign w:val="center"/>
          </w:tcPr>
          <w:p w14:paraId="3E8F3B48">
            <w:pPr>
              <w:spacing w:line="360" w:lineRule="auto"/>
              <w:jc w:val="center"/>
              <w:rPr>
                <w:rFonts w:hint="eastAsia" w:eastAsia="宋体"/>
                <w:sz w:val="24"/>
                <w:vertAlign w:val="baseline"/>
                <w:lang w:val="en-US" w:eastAsia="zh-CN"/>
              </w:rPr>
            </w:pPr>
            <w:r>
              <w:rPr>
                <w:rFonts w:hint="eastAsia"/>
                <w:sz w:val="24"/>
                <w:vertAlign w:val="baseline"/>
                <w:lang w:val="en-US" w:eastAsia="zh-CN"/>
              </w:rPr>
              <w:t>服务名称</w:t>
            </w:r>
          </w:p>
        </w:tc>
        <w:tc>
          <w:tcPr>
            <w:tcW w:w="1004" w:type="pct"/>
            <w:vAlign w:val="center"/>
          </w:tcPr>
          <w:p w14:paraId="7B7BC42F">
            <w:pPr>
              <w:spacing w:line="360" w:lineRule="auto"/>
              <w:jc w:val="center"/>
              <w:rPr>
                <w:rFonts w:hint="eastAsia"/>
                <w:sz w:val="24"/>
                <w:vertAlign w:val="baseline"/>
                <w:lang w:val="en-US" w:eastAsia="zh-CN"/>
              </w:rPr>
            </w:pPr>
            <w:r>
              <w:rPr>
                <w:rFonts w:hint="eastAsia"/>
                <w:sz w:val="24"/>
                <w:vertAlign w:val="baseline"/>
                <w:lang w:val="en-US" w:eastAsia="zh-CN"/>
              </w:rPr>
              <w:t>单价</w:t>
            </w:r>
          </w:p>
          <w:p w14:paraId="2E3C557F">
            <w:pPr>
              <w:spacing w:line="360" w:lineRule="auto"/>
              <w:jc w:val="center"/>
              <w:rPr>
                <w:rFonts w:hint="default" w:eastAsia="宋体"/>
                <w:sz w:val="24"/>
                <w:vertAlign w:val="baseline"/>
                <w:lang w:val="en-US" w:eastAsia="zh-CN"/>
              </w:rPr>
            </w:pPr>
            <w:r>
              <w:rPr>
                <w:rFonts w:hint="eastAsia"/>
                <w:sz w:val="24"/>
                <w:vertAlign w:val="baseline"/>
                <w:lang w:val="en-US" w:eastAsia="zh-CN"/>
              </w:rPr>
              <w:t>（元）</w:t>
            </w:r>
          </w:p>
        </w:tc>
        <w:tc>
          <w:tcPr>
            <w:tcW w:w="1012" w:type="pct"/>
            <w:vAlign w:val="center"/>
          </w:tcPr>
          <w:p w14:paraId="723005E1">
            <w:pPr>
              <w:spacing w:line="360" w:lineRule="auto"/>
              <w:jc w:val="center"/>
              <w:rPr>
                <w:rFonts w:hint="eastAsia"/>
                <w:sz w:val="24"/>
                <w:vertAlign w:val="baseline"/>
                <w:lang w:val="en-US" w:eastAsia="zh-CN"/>
              </w:rPr>
            </w:pPr>
            <w:r>
              <w:rPr>
                <w:rFonts w:hint="eastAsia"/>
                <w:sz w:val="24"/>
                <w:vertAlign w:val="baseline"/>
                <w:lang w:val="en-US" w:eastAsia="zh-CN"/>
              </w:rPr>
              <w:t>合价</w:t>
            </w:r>
          </w:p>
          <w:p w14:paraId="1F7C052F">
            <w:pPr>
              <w:spacing w:line="360" w:lineRule="auto"/>
              <w:jc w:val="center"/>
              <w:rPr>
                <w:rFonts w:hint="eastAsia" w:eastAsia="宋体"/>
                <w:sz w:val="24"/>
                <w:vertAlign w:val="baseline"/>
                <w:lang w:val="en-US" w:eastAsia="zh-CN"/>
              </w:rPr>
            </w:pPr>
            <w:r>
              <w:rPr>
                <w:rFonts w:hint="eastAsia"/>
                <w:sz w:val="24"/>
                <w:vertAlign w:val="baseline"/>
                <w:lang w:val="en-US" w:eastAsia="zh-CN"/>
              </w:rPr>
              <w:t>（元）</w:t>
            </w:r>
          </w:p>
        </w:tc>
      </w:tr>
      <w:tr w14:paraId="13C1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584" w:type="pct"/>
            <w:vAlign w:val="center"/>
          </w:tcPr>
          <w:p w14:paraId="35DD7F38">
            <w:pPr>
              <w:spacing w:line="360" w:lineRule="auto"/>
              <w:jc w:val="center"/>
              <w:rPr>
                <w:rFonts w:hint="eastAsia" w:eastAsia="宋体"/>
                <w:sz w:val="24"/>
                <w:vertAlign w:val="baseline"/>
                <w:lang w:val="en-US" w:eastAsia="zh-CN"/>
              </w:rPr>
            </w:pPr>
            <w:r>
              <w:rPr>
                <w:rFonts w:hint="eastAsia"/>
                <w:sz w:val="24"/>
                <w:vertAlign w:val="baseline"/>
                <w:lang w:val="en-US" w:eastAsia="zh-CN"/>
              </w:rPr>
              <w:t>1</w:t>
            </w:r>
          </w:p>
        </w:tc>
        <w:tc>
          <w:tcPr>
            <w:tcW w:w="2399" w:type="pct"/>
            <w:vAlign w:val="center"/>
          </w:tcPr>
          <w:p w14:paraId="613CA1FB">
            <w:pPr>
              <w:spacing w:line="360" w:lineRule="auto"/>
              <w:jc w:val="center"/>
              <w:rPr>
                <w:sz w:val="24"/>
                <w:vertAlign w:val="baseline"/>
              </w:rPr>
            </w:pPr>
            <w:r>
              <w:rPr>
                <w:rFonts w:hint="eastAsia"/>
                <w:sz w:val="24"/>
                <w:vertAlign w:val="baseline"/>
              </w:rPr>
              <w:t>江苏南通二棉有限公司2025年南通市工程技术研究中心认定服务</w:t>
            </w:r>
          </w:p>
        </w:tc>
        <w:tc>
          <w:tcPr>
            <w:tcW w:w="1004" w:type="pct"/>
            <w:vAlign w:val="center"/>
          </w:tcPr>
          <w:p w14:paraId="65B2A011">
            <w:pPr>
              <w:spacing w:line="360" w:lineRule="auto"/>
              <w:jc w:val="center"/>
              <w:rPr>
                <w:sz w:val="24"/>
                <w:vertAlign w:val="baseline"/>
              </w:rPr>
            </w:pPr>
          </w:p>
        </w:tc>
        <w:tc>
          <w:tcPr>
            <w:tcW w:w="1012" w:type="pct"/>
            <w:vAlign w:val="center"/>
          </w:tcPr>
          <w:p w14:paraId="3DAE922A">
            <w:pPr>
              <w:spacing w:line="360" w:lineRule="auto"/>
              <w:jc w:val="center"/>
              <w:rPr>
                <w:sz w:val="24"/>
                <w:vertAlign w:val="baseline"/>
              </w:rPr>
            </w:pPr>
          </w:p>
        </w:tc>
      </w:tr>
      <w:tr w14:paraId="0861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3987" w:type="pct"/>
            <w:gridSpan w:val="3"/>
            <w:shd w:val="clear" w:color="auto" w:fill="auto"/>
            <w:vAlign w:val="center"/>
          </w:tcPr>
          <w:p w14:paraId="7C249FC2">
            <w:pPr>
              <w:spacing w:line="360" w:lineRule="auto"/>
              <w:jc w:val="center"/>
              <w:rPr>
                <w:sz w:val="24"/>
                <w:vertAlign w:val="baseline"/>
              </w:rPr>
            </w:pPr>
            <w:r>
              <w:rPr>
                <w:rFonts w:hint="eastAsia"/>
                <w:sz w:val="24"/>
                <w:vertAlign w:val="baseline"/>
                <w:lang w:val="en-US" w:eastAsia="zh-CN"/>
              </w:rPr>
              <w:t>投标总价（元）</w:t>
            </w:r>
          </w:p>
        </w:tc>
        <w:tc>
          <w:tcPr>
            <w:tcW w:w="1012" w:type="pct"/>
            <w:vAlign w:val="center"/>
          </w:tcPr>
          <w:p w14:paraId="08A27611">
            <w:pPr>
              <w:spacing w:line="360" w:lineRule="auto"/>
              <w:jc w:val="center"/>
              <w:rPr>
                <w:sz w:val="24"/>
                <w:vertAlign w:val="baseline"/>
              </w:rPr>
            </w:pPr>
          </w:p>
        </w:tc>
      </w:tr>
    </w:tbl>
    <w:p w14:paraId="7A6FD70F">
      <w:pPr>
        <w:rPr>
          <w:rFonts w:hint="eastAsia"/>
          <w:sz w:val="24"/>
          <w:lang w:val="en-US" w:eastAsia="zh-CN"/>
        </w:rPr>
      </w:pPr>
    </w:p>
    <w:p w14:paraId="1AE94422">
      <w:pPr>
        <w:rPr>
          <w:sz w:val="24"/>
        </w:rPr>
      </w:pPr>
      <w:r>
        <w:rPr>
          <w:rFonts w:hint="eastAsia"/>
          <w:sz w:val="24"/>
          <w:lang w:val="en-US" w:eastAsia="zh-CN"/>
        </w:rPr>
        <w:t>注</w:t>
      </w:r>
      <w:r>
        <w:rPr>
          <w:sz w:val="24"/>
        </w:rPr>
        <w:t>：表格不够可按照此格式自行增加。</w:t>
      </w:r>
    </w:p>
    <w:p w14:paraId="664501EF">
      <w:pPr>
        <w:spacing w:line="360" w:lineRule="auto"/>
        <w:jc w:val="left"/>
        <w:rPr>
          <w:sz w:val="24"/>
        </w:rPr>
      </w:pPr>
    </w:p>
    <w:p w14:paraId="3E94ED17">
      <w:pPr>
        <w:spacing w:line="360" w:lineRule="auto"/>
        <w:jc w:val="left"/>
        <w:rPr>
          <w:sz w:val="24"/>
        </w:rPr>
      </w:pPr>
    </w:p>
    <w:p w14:paraId="1D096D43">
      <w:pPr>
        <w:snapToGrid w:val="0"/>
        <w:spacing w:line="360" w:lineRule="auto"/>
        <w:jc w:val="left"/>
        <w:rPr>
          <w:sz w:val="24"/>
        </w:rPr>
      </w:pPr>
    </w:p>
    <w:p w14:paraId="5678BD8D">
      <w:pPr>
        <w:snapToGrid w:val="0"/>
        <w:spacing w:line="360" w:lineRule="auto"/>
        <w:jc w:val="left"/>
        <w:rPr>
          <w:sz w:val="24"/>
          <w:u w:val="single"/>
        </w:rPr>
      </w:pPr>
      <w:r>
        <w:rPr>
          <w:sz w:val="24"/>
        </w:rPr>
        <w:t>法定代表人或授权代表人签字：</w:t>
      </w:r>
    </w:p>
    <w:p w14:paraId="7C976029">
      <w:pPr>
        <w:snapToGrid w:val="0"/>
        <w:spacing w:line="360" w:lineRule="auto"/>
        <w:ind w:left="1"/>
      </w:pPr>
      <w:r>
        <w:rPr>
          <w:sz w:val="24"/>
        </w:rPr>
        <w:t>（请加盖公章）</w:t>
      </w:r>
    </w:p>
    <w:p w14:paraId="716869B1">
      <w:pPr>
        <w:snapToGrid w:val="0"/>
        <w:spacing w:line="360" w:lineRule="auto"/>
        <w:jc w:val="left"/>
        <w:rPr>
          <w:sz w:val="24"/>
          <w:u w:val="single"/>
        </w:rPr>
      </w:pPr>
      <w:r>
        <w:rPr>
          <w:sz w:val="24"/>
        </w:rPr>
        <w:t>日期：</w:t>
      </w:r>
    </w:p>
    <w:p w14:paraId="3D9B35A7">
      <w:pPr>
        <w:spacing w:line="360" w:lineRule="auto"/>
        <w:jc w:val="left"/>
        <w:rPr>
          <w:sz w:val="24"/>
        </w:rPr>
      </w:pPr>
    </w:p>
    <w:p w14:paraId="5E31A16A">
      <w:pPr>
        <w:rPr>
          <w:rFonts w:eastAsia="黑体"/>
          <w:b/>
          <w:bCs/>
          <w:sz w:val="32"/>
          <w:szCs w:val="32"/>
        </w:rPr>
      </w:pPr>
      <w:r>
        <w:rPr>
          <w:rFonts w:eastAsia="黑体"/>
          <w:b/>
          <w:bCs/>
          <w:sz w:val="32"/>
          <w:szCs w:val="32"/>
        </w:rPr>
        <w:br w:type="page"/>
      </w:r>
    </w:p>
    <w:p w14:paraId="26A77ED4">
      <w:pPr>
        <w:pStyle w:val="4"/>
        <w:spacing w:before="240" w:after="240" w:line="360" w:lineRule="auto"/>
        <w:jc w:val="center"/>
        <w:rPr>
          <w:rFonts w:eastAsia="黑体"/>
          <w:sz w:val="28"/>
        </w:rPr>
      </w:pPr>
      <w:r>
        <w:rPr>
          <w:rFonts w:eastAsia="黑体"/>
          <w:sz w:val="28"/>
        </w:rPr>
        <w:t>营业执照复印件</w:t>
      </w:r>
    </w:p>
    <w:p w14:paraId="63A53DFF">
      <w:pPr>
        <w:rPr>
          <w:rFonts w:eastAsia="黑体"/>
          <w:sz w:val="28"/>
        </w:rPr>
      </w:pPr>
    </w:p>
    <w:p w14:paraId="087102B2">
      <w:pPr>
        <w:rPr>
          <w:rFonts w:eastAsia="黑体"/>
          <w:b/>
          <w:bCs/>
          <w:sz w:val="28"/>
          <w:szCs w:val="44"/>
        </w:rPr>
      </w:pPr>
      <w:r>
        <w:rPr>
          <w:rFonts w:eastAsia="黑体"/>
          <w:b/>
          <w:bCs/>
          <w:sz w:val="28"/>
          <w:szCs w:val="44"/>
        </w:rPr>
        <w:br w:type="page"/>
      </w:r>
    </w:p>
    <w:p w14:paraId="509F2DA7">
      <w:pPr>
        <w:pStyle w:val="4"/>
        <w:spacing w:before="240" w:after="240" w:line="360" w:lineRule="auto"/>
        <w:jc w:val="center"/>
        <w:rPr>
          <w:rFonts w:eastAsia="黑体"/>
          <w:sz w:val="28"/>
        </w:rPr>
      </w:pPr>
      <w:bookmarkStart w:id="1" w:name="_Toc13214324"/>
      <w:r>
        <w:rPr>
          <w:rFonts w:eastAsia="黑体"/>
          <w:sz w:val="28"/>
        </w:rPr>
        <w:t>法人代表授权书格式</w:t>
      </w:r>
      <w:bookmarkEnd w:id="1"/>
    </w:p>
    <w:p w14:paraId="5FD78B7B">
      <w:pPr>
        <w:autoSpaceDE w:val="0"/>
        <w:autoSpaceDN w:val="0"/>
        <w:adjustRightInd w:val="0"/>
        <w:jc w:val="center"/>
        <w:rPr>
          <w:rFonts w:ascii="宋体" w:cs="宋体"/>
          <w:color w:val="auto"/>
          <w:kern w:val="0"/>
          <w:sz w:val="36"/>
          <w:szCs w:val="36"/>
          <w:highlight w:val="none"/>
        </w:rPr>
      </w:pPr>
      <w:r>
        <w:rPr>
          <w:rFonts w:hint="eastAsia" w:eastAsia="宋体"/>
          <w:b/>
          <w:bCs/>
          <w:sz w:val="28"/>
          <w:szCs w:val="28"/>
        </w:rPr>
        <w:t>法定代表人授权书</w:t>
      </w:r>
    </w:p>
    <w:p w14:paraId="17C71093">
      <w:pPr>
        <w:spacing w:line="360" w:lineRule="auto"/>
        <w:ind w:firstLine="480" w:firstLineChars="200"/>
        <w:rPr>
          <w:rFonts w:eastAsia="宋体"/>
          <w:sz w:val="24"/>
        </w:rPr>
      </w:pPr>
      <w:r>
        <w:rPr>
          <w:rFonts w:hint="eastAsia" w:eastAsia="宋体"/>
          <w:sz w:val="24"/>
        </w:rPr>
        <w:t>公司：</w:t>
      </w:r>
      <w:r>
        <w:rPr>
          <w:rFonts w:eastAsia="宋体"/>
          <w:sz w:val="24"/>
        </w:rPr>
        <w:t xml:space="preserve"> </w:t>
      </w:r>
    </w:p>
    <w:p w14:paraId="6DA3BD75">
      <w:pPr>
        <w:spacing w:line="360" w:lineRule="auto"/>
        <w:ind w:firstLine="480" w:firstLineChars="200"/>
        <w:rPr>
          <w:rFonts w:eastAsia="宋体"/>
          <w:sz w:val="24"/>
        </w:rPr>
      </w:pPr>
      <w:r>
        <w:rPr>
          <w:rFonts w:hint="eastAsia" w:eastAsia="宋体"/>
          <w:sz w:val="24"/>
        </w:rPr>
        <w:t>法定代表人</w:t>
      </w:r>
      <w:r>
        <w:rPr>
          <w:rFonts w:hint="eastAsia" w:eastAsia="宋体"/>
          <w:sz w:val="24"/>
          <w:u w:val="single"/>
        </w:rPr>
        <w:t xml:space="preserve">         </w:t>
      </w:r>
      <w:r>
        <w:rPr>
          <w:rFonts w:hint="eastAsia" w:eastAsia="宋体"/>
          <w:sz w:val="24"/>
        </w:rPr>
        <w:t>授权</w:t>
      </w:r>
      <w:r>
        <w:rPr>
          <w:rFonts w:hint="eastAsia" w:eastAsia="宋体"/>
          <w:sz w:val="24"/>
          <w:u w:val="single"/>
        </w:rPr>
        <w:t xml:space="preserve">         </w:t>
      </w:r>
      <w:r>
        <w:rPr>
          <w:rFonts w:hint="eastAsia" w:eastAsia="宋体"/>
          <w:sz w:val="24"/>
        </w:rPr>
        <w:t>为投标人代表，代表本公司参加贵司组织的</w:t>
      </w:r>
      <w:r>
        <w:rPr>
          <w:rFonts w:hint="eastAsia" w:eastAsia="宋体"/>
          <w:sz w:val="24"/>
          <w:u w:val="single"/>
        </w:rPr>
        <w:t xml:space="preserve">                               </w:t>
      </w:r>
      <w:r>
        <w:rPr>
          <w:rFonts w:hint="eastAsia" w:eastAsia="宋体"/>
          <w:sz w:val="24"/>
        </w:rPr>
        <w:t>项目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r>
        <w:rPr>
          <w:rFonts w:eastAsia="宋体"/>
          <w:sz w:val="24"/>
        </w:rPr>
        <w:t xml:space="preserve"> </w:t>
      </w:r>
    </w:p>
    <w:p w14:paraId="5716905D">
      <w:pPr>
        <w:spacing w:line="360" w:lineRule="auto"/>
        <w:ind w:firstLine="480" w:firstLineChars="200"/>
        <w:rPr>
          <w:rFonts w:eastAsia="宋体"/>
          <w:sz w:val="24"/>
        </w:rPr>
      </w:pPr>
      <w:r>
        <w:rPr>
          <w:rFonts w:hint="eastAsia" w:eastAsia="宋体"/>
          <w:sz w:val="24"/>
        </w:rPr>
        <w:t>本授权书自出具之日起生效。</w:t>
      </w:r>
      <w:r>
        <w:rPr>
          <w:rFonts w:eastAsia="宋体"/>
          <w:sz w:val="24"/>
        </w:rPr>
        <w:t xml:space="preserve"> </w:t>
      </w:r>
    </w:p>
    <w:p w14:paraId="68642B4F">
      <w:pPr>
        <w:spacing w:line="360" w:lineRule="auto"/>
        <w:ind w:firstLine="480" w:firstLineChars="200"/>
        <w:rPr>
          <w:rFonts w:eastAsia="宋体"/>
          <w:sz w:val="24"/>
        </w:rPr>
      </w:pPr>
      <w:r>
        <w:rPr>
          <w:rFonts w:hint="eastAsia" w:eastAsia="宋体"/>
          <w:sz w:val="24"/>
        </w:rPr>
        <w:t>投标人代表：</w:t>
      </w:r>
      <w:r>
        <w:rPr>
          <w:rFonts w:eastAsia="宋体"/>
          <w:sz w:val="24"/>
        </w:rPr>
        <w:t xml:space="preserve"> </w:t>
      </w:r>
      <w:r>
        <w:rPr>
          <w:rFonts w:hint="eastAsia" w:eastAsia="宋体"/>
          <w:sz w:val="24"/>
        </w:rPr>
        <w:t xml:space="preserve">       性别：</w:t>
      </w:r>
      <w:r>
        <w:rPr>
          <w:rFonts w:eastAsia="宋体"/>
          <w:sz w:val="24"/>
        </w:rPr>
        <w:t xml:space="preserve"> </w:t>
      </w:r>
      <w:r>
        <w:rPr>
          <w:rFonts w:hint="eastAsia" w:eastAsia="宋体"/>
          <w:sz w:val="24"/>
        </w:rPr>
        <w:t xml:space="preserve">      身份证号：</w:t>
      </w:r>
      <w:r>
        <w:rPr>
          <w:rFonts w:eastAsia="宋体"/>
          <w:sz w:val="24"/>
        </w:rPr>
        <w:t xml:space="preserve"> </w:t>
      </w:r>
    </w:p>
    <w:p w14:paraId="07414F96">
      <w:pPr>
        <w:spacing w:line="360" w:lineRule="auto"/>
        <w:ind w:firstLine="480" w:firstLineChars="200"/>
        <w:rPr>
          <w:rFonts w:eastAsia="宋体"/>
          <w:sz w:val="24"/>
        </w:rPr>
      </w:pPr>
      <w:r>
        <w:rPr>
          <w:rFonts w:hint="eastAsia" w:eastAsia="宋体"/>
          <w:sz w:val="24"/>
        </w:rPr>
        <w:t>单位：</w:t>
      </w:r>
      <w:r>
        <w:rPr>
          <w:rFonts w:eastAsia="宋体"/>
          <w:sz w:val="24"/>
        </w:rPr>
        <w:t xml:space="preserve"> </w:t>
      </w:r>
      <w:r>
        <w:rPr>
          <w:rFonts w:hint="eastAsia" w:eastAsia="宋体"/>
          <w:sz w:val="24"/>
        </w:rPr>
        <w:t xml:space="preserve">                  部门：</w:t>
      </w:r>
      <w:r>
        <w:rPr>
          <w:rFonts w:eastAsia="宋体"/>
          <w:sz w:val="24"/>
        </w:rPr>
        <w:t xml:space="preserve"> </w:t>
      </w:r>
      <w:r>
        <w:rPr>
          <w:rFonts w:hint="eastAsia" w:eastAsia="宋体"/>
          <w:sz w:val="24"/>
        </w:rPr>
        <w:t xml:space="preserve">         职务：</w:t>
      </w:r>
      <w:r>
        <w:rPr>
          <w:rFonts w:eastAsia="宋体"/>
          <w:sz w:val="24"/>
        </w:rPr>
        <w:t xml:space="preserve"> </w:t>
      </w:r>
    </w:p>
    <w:p w14:paraId="2A0BDBAB">
      <w:pPr>
        <w:spacing w:line="360" w:lineRule="auto"/>
        <w:ind w:firstLine="480" w:firstLineChars="200"/>
        <w:rPr>
          <w:rFonts w:eastAsia="宋体"/>
          <w:sz w:val="24"/>
        </w:rPr>
      </w:pPr>
      <w:r>
        <w:rPr>
          <w:rFonts w:hint="eastAsia" w:eastAsia="宋体"/>
          <w:sz w:val="24"/>
        </w:rPr>
        <w:t>详细通讯地址：</w:t>
      </w:r>
      <w:r>
        <w:rPr>
          <w:rFonts w:eastAsia="宋体"/>
          <w:sz w:val="24"/>
        </w:rPr>
        <w:t xml:space="preserve"> </w:t>
      </w:r>
    </w:p>
    <w:p w14:paraId="764FDF89">
      <w:pPr>
        <w:spacing w:line="360" w:lineRule="auto"/>
        <w:ind w:firstLine="480" w:firstLineChars="200"/>
        <w:rPr>
          <w:rFonts w:eastAsia="宋体"/>
          <w:sz w:val="24"/>
        </w:rPr>
      </w:pPr>
      <w:r>
        <w:rPr>
          <w:rFonts w:hint="eastAsia" w:eastAsia="宋体"/>
          <w:sz w:val="24"/>
        </w:rPr>
        <w:t>邮政编码：             电话：</w:t>
      </w:r>
      <w:bookmarkStart w:id="2" w:name="OLE_LINK1"/>
      <w:r>
        <w:rPr>
          <w:rFonts w:eastAsia="宋体"/>
          <w:sz w:val="24"/>
        </w:rPr>
        <w:t xml:space="preserve"> </w:t>
      </w:r>
      <w:bookmarkEnd w:id="2"/>
    </w:p>
    <w:p w14:paraId="0F9352E4">
      <w:pPr>
        <w:spacing w:line="360" w:lineRule="auto"/>
        <w:ind w:firstLine="480" w:firstLineChars="200"/>
        <w:rPr>
          <w:rFonts w:eastAsia="宋体"/>
          <w:sz w:val="24"/>
        </w:rPr>
      </w:pPr>
      <w:r>
        <w:rPr>
          <w:rFonts w:hint="eastAsia" w:eastAsia="宋体"/>
          <w:sz w:val="24"/>
        </w:rPr>
        <w:t>授权方</w:t>
      </w:r>
      <w:r>
        <w:rPr>
          <w:rFonts w:eastAsia="宋体"/>
          <w:sz w:val="24"/>
        </w:rPr>
        <w:t xml:space="preserve"> </w:t>
      </w:r>
    </w:p>
    <w:p w14:paraId="2844423C">
      <w:pPr>
        <w:spacing w:line="360" w:lineRule="auto"/>
        <w:ind w:firstLine="480" w:firstLineChars="200"/>
        <w:rPr>
          <w:rFonts w:eastAsia="宋体"/>
          <w:sz w:val="24"/>
        </w:rPr>
      </w:pPr>
      <w:r>
        <w:rPr>
          <w:rFonts w:hint="eastAsia" w:eastAsia="宋体"/>
          <w:sz w:val="24"/>
        </w:rPr>
        <w:t>投标人（全称并加盖公章）：</w:t>
      </w:r>
      <w:r>
        <w:rPr>
          <w:rFonts w:eastAsia="宋体"/>
          <w:sz w:val="24"/>
        </w:rPr>
        <w:t xml:space="preserve"> </w:t>
      </w:r>
    </w:p>
    <w:p w14:paraId="1D0DE1F4">
      <w:pPr>
        <w:spacing w:line="360" w:lineRule="auto"/>
        <w:ind w:firstLine="480" w:firstLineChars="200"/>
        <w:rPr>
          <w:rFonts w:eastAsia="宋体"/>
          <w:sz w:val="24"/>
        </w:rPr>
      </w:pPr>
      <w:r>
        <w:rPr>
          <w:rFonts w:hint="eastAsia" w:eastAsia="宋体"/>
          <w:sz w:val="24"/>
        </w:rPr>
        <w:t>法定代表人签字：</w:t>
      </w:r>
      <w:r>
        <w:rPr>
          <w:rFonts w:eastAsia="宋体"/>
          <w:sz w:val="24"/>
        </w:rPr>
        <w:t xml:space="preserve"> </w:t>
      </w:r>
    </w:p>
    <w:p w14:paraId="548CCB31">
      <w:pPr>
        <w:spacing w:line="360" w:lineRule="auto"/>
        <w:ind w:firstLine="480" w:firstLineChars="200"/>
        <w:rPr>
          <w:rFonts w:eastAsia="宋体"/>
          <w:sz w:val="24"/>
        </w:rPr>
      </w:pPr>
      <w:r>
        <w:rPr>
          <w:rFonts w:hint="eastAsia" w:eastAsia="宋体"/>
          <w:sz w:val="24"/>
        </w:rPr>
        <w:t>日</w:t>
      </w:r>
      <w:r>
        <w:rPr>
          <w:rFonts w:eastAsia="宋体"/>
          <w:sz w:val="24"/>
        </w:rPr>
        <w:t xml:space="preserve"> </w:t>
      </w:r>
      <w:r>
        <w:rPr>
          <w:rFonts w:hint="eastAsia" w:eastAsia="宋体"/>
          <w:sz w:val="24"/>
        </w:rPr>
        <w:t>期：</w:t>
      </w:r>
      <w:r>
        <w:rPr>
          <w:rFonts w:eastAsia="宋体"/>
          <w:sz w:val="24"/>
        </w:rPr>
        <w:t xml:space="preserve"> </w:t>
      </w:r>
    </w:p>
    <w:p w14:paraId="35E95DE9">
      <w:pPr>
        <w:spacing w:line="360" w:lineRule="auto"/>
        <w:ind w:firstLine="480" w:firstLineChars="200"/>
        <w:rPr>
          <w:rFonts w:eastAsia="宋体"/>
          <w:sz w:val="24"/>
        </w:rPr>
      </w:pPr>
      <w:r>
        <w:rPr>
          <w:rFonts w:hint="eastAsia" w:eastAsia="宋体"/>
          <w:sz w:val="24"/>
        </w:rPr>
        <w:t>接受授权方</w:t>
      </w:r>
      <w:r>
        <w:rPr>
          <w:rFonts w:eastAsia="宋体"/>
          <w:sz w:val="24"/>
        </w:rPr>
        <w:t xml:space="preserve"> </w:t>
      </w:r>
    </w:p>
    <w:p w14:paraId="08A94AC3">
      <w:pPr>
        <w:spacing w:line="360" w:lineRule="auto"/>
        <w:ind w:firstLine="480" w:firstLineChars="200"/>
        <w:rPr>
          <w:rFonts w:eastAsia="宋体"/>
          <w:sz w:val="24"/>
        </w:rPr>
      </w:pPr>
      <w:r>
        <w:rPr>
          <w:rFonts w:hint="eastAsia" w:eastAsia="宋体"/>
          <w:sz w:val="24"/>
        </w:rPr>
        <w:t>投标人代表签字：</w:t>
      </w:r>
      <w:r>
        <w:rPr>
          <w:rFonts w:eastAsia="宋体"/>
          <w:sz w:val="24"/>
        </w:rPr>
        <w:t xml:space="preserve"> </w:t>
      </w:r>
    </w:p>
    <w:p w14:paraId="3DF41383">
      <w:pPr>
        <w:spacing w:line="360" w:lineRule="auto"/>
        <w:ind w:firstLine="480" w:firstLineChars="200"/>
        <w:rPr>
          <w:rFonts w:hint="eastAsia" w:eastAsia="宋体"/>
          <w:sz w:val="24"/>
        </w:rPr>
      </w:pPr>
      <w:r>
        <w:rPr>
          <w:rFonts w:hint="eastAsia" w:eastAsia="宋体"/>
          <w:sz w:val="24"/>
        </w:rPr>
        <w:t>日期：</w:t>
      </w:r>
    </w:p>
    <w:p w14:paraId="2B007EA4">
      <w:pPr>
        <w:pStyle w:val="15"/>
        <w:ind w:firstLine="480"/>
        <w:rPr>
          <w:sz w:val="24"/>
        </w:rPr>
      </w:pPr>
    </w:p>
    <w:p w14:paraId="035AC74B">
      <w:pPr>
        <w:rPr>
          <w:rFonts w:ascii="Times New Roman" w:hAnsi="Times New Roman"/>
          <w:sz w:val="28"/>
        </w:rPr>
      </w:pPr>
      <w:r>
        <w:rPr>
          <w:rFonts w:ascii="Times New Roman" w:hAnsi="Times New Roman"/>
          <w:sz w:val="28"/>
        </w:rPr>
        <w:br w:type="page"/>
      </w:r>
    </w:p>
    <w:p w14:paraId="500CB686">
      <w:pPr>
        <w:pStyle w:val="3"/>
        <w:jc w:val="center"/>
        <w:rPr>
          <w:rFonts w:ascii="Times New Roman" w:hAnsi="Times New Roman"/>
        </w:rPr>
      </w:pPr>
      <w:r>
        <w:rPr>
          <w:rFonts w:ascii="Times New Roman" w:hAnsi="Times New Roman"/>
          <w:sz w:val="28"/>
        </w:rPr>
        <w:t>投标人概况</w:t>
      </w:r>
    </w:p>
    <w:p w14:paraId="2AC99A71">
      <w:pPr>
        <w:ind w:left="420"/>
        <w:jc w:val="center"/>
        <w:rPr>
          <w:b/>
          <w:bCs/>
          <w:sz w:val="11"/>
        </w:rPr>
      </w:pPr>
    </w:p>
    <w:p w14:paraId="75017DBE">
      <w:pPr>
        <w:pStyle w:val="7"/>
        <w:spacing w:line="240" w:lineRule="auto"/>
      </w:pPr>
      <w:r>
        <w:t>（注：投标人简要历史、生产的主要产品或经营业务范围；组织机构、所属集（财）团等）</w:t>
      </w:r>
    </w:p>
    <w:p w14:paraId="4078AC3A">
      <w:pPr>
        <w:pStyle w:val="15"/>
        <w:ind w:firstLine="480"/>
        <w:rPr>
          <w:sz w:val="24"/>
          <w:highlight w:val="yellow"/>
        </w:rPr>
      </w:pPr>
    </w:p>
    <w:p w14:paraId="38A80CC9">
      <w:pPr>
        <w:pStyle w:val="15"/>
        <w:ind w:firstLine="480"/>
        <w:rPr>
          <w:sz w:val="24"/>
          <w:highlight w:val="yellow"/>
        </w:rPr>
      </w:pPr>
    </w:p>
    <w:p w14:paraId="1A729776">
      <w:pPr>
        <w:pStyle w:val="15"/>
        <w:ind w:firstLine="480"/>
        <w:rPr>
          <w:sz w:val="24"/>
          <w:highlight w:val="yellow"/>
        </w:rPr>
      </w:pPr>
    </w:p>
    <w:p w14:paraId="405139DD">
      <w:pPr>
        <w:pStyle w:val="15"/>
        <w:ind w:firstLine="480"/>
        <w:rPr>
          <w:sz w:val="24"/>
          <w:highlight w:val="yellow"/>
        </w:rPr>
      </w:pPr>
    </w:p>
    <w:p w14:paraId="1EE9B543">
      <w:pPr>
        <w:pStyle w:val="15"/>
        <w:ind w:firstLine="480"/>
        <w:rPr>
          <w:sz w:val="24"/>
          <w:highlight w:val="yellow"/>
        </w:rPr>
      </w:pPr>
    </w:p>
    <w:p w14:paraId="4CDC5A13">
      <w:pPr>
        <w:pStyle w:val="15"/>
        <w:ind w:firstLine="480"/>
        <w:rPr>
          <w:sz w:val="24"/>
          <w:highlight w:val="yellow"/>
        </w:rPr>
      </w:pPr>
    </w:p>
    <w:p w14:paraId="6E5D735D">
      <w:pPr>
        <w:rPr>
          <w:rFonts w:eastAsia="黑体"/>
          <w:sz w:val="28"/>
        </w:rPr>
      </w:pPr>
      <w:r>
        <w:rPr>
          <w:rFonts w:eastAsia="黑体"/>
          <w:sz w:val="28"/>
        </w:rPr>
        <w:br w:type="page"/>
      </w:r>
    </w:p>
    <w:p w14:paraId="17C6C709">
      <w:pPr>
        <w:pStyle w:val="4"/>
        <w:spacing w:before="240" w:after="240" w:line="360" w:lineRule="auto"/>
        <w:jc w:val="center"/>
        <w:rPr>
          <w:rFonts w:eastAsia="黑体"/>
          <w:sz w:val="28"/>
        </w:rPr>
      </w:pPr>
      <w:r>
        <w:rPr>
          <w:rFonts w:eastAsia="黑体"/>
          <w:sz w:val="28"/>
        </w:rPr>
        <w:t>投标人技术能力</w:t>
      </w:r>
    </w:p>
    <w:p w14:paraId="2D51F9EA">
      <w:pPr>
        <w:jc w:val="center"/>
        <w:rPr>
          <w:sz w:val="24"/>
        </w:rPr>
      </w:pPr>
      <w:r>
        <w:rPr>
          <w:sz w:val="24"/>
        </w:rPr>
        <w:t>（注：简要介绍投标人的</w:t>
      </w:r>
      <w:r>
        <w:rPr>
          <w:rFonts w:hint="eastAsia"/>
          <w:sz w:val="24"/>
          <w:lang w:val="en-US" w:eastAsia="zh-CN"/>
        </w:rPr>
        <w:t>企业能力</w:t>
      </w:r>
      <w:r>
        <w:rPr>
          <w:sz w:val="24"/>
        </w:rPr>
        <w:t>等）</w:t>
      </w:r>
    </w:p>
    <w:p w14:paraId="38A233B2">
      <w:pPr>
        <w:jc w:val="center"/>
        <w:rPr>
          <w:sz w:val="24"/>
        </w:rPr>
      </w:pPr>
    </w:p>
    <w:p w14:paraId="13055078">
      <w:pPr>
        <w:jc w:val="center"/>
        <w:rPr>
          <w:sz w:val="24"/>
        </w:rPr>
      </w:pPr>
    </w:p>
    <w:p w14:paraId="6EBFBCF3">
      <w:pPr>
        <w:rPr>
          <w:rFonts w:eastAsia="黑体"/>
          <w:b/>
          <w:bCs/>
          <w:sz w:val="28"/>
          <w:szCs w:val="32"/>
        </w:rPr>
      </w:pPr>
      <w:r>
        <w:rPr>
          <w:rFonts w:eastAsia="黑体"/>
          <w:b/>
          <w:bCs/>
          <w:sz w:val="28"/>
          <w:szCs w:val="32"/>
        </w:rPr>
        <w:br w:type="page"/>
      </w:r>
    </w:p>
    <w:p w14:paraId="109ED990">
      <w:pPr>
        <w:keepNext/>
        <w:keepLines/>
        <w:spacing w:before="240" w:after="240"/>
        <w:ind w:firstLine="562"/>
        <w:jc w:val="center"/>
        <w:outlineLvl w:val="2"/>
        <w:rPr>
          <w:rFonts w:eastAsia="黑体"/>
          <w:b/>
          <w:bCs/>
          <w:sz w:val="28"/>
          <w:szCs w:val="32"/>
        </w:rPr>
      </w:pPr>
      <w:r>
        <w:rPr>
          <w:rFonts w:eastAsia="黑体"/>
          <w:b/>
          <w:bCs/>
          <w:sz w:val="28"/>
          <w:szCs w:val="32"/>
        </w:rPr>
        <w:t>投标人财务状况</w:t>
      </w:r>
    </w:p>
    <w:p w14:paraId="0C6F171B">
      <w:pPr>
        <w:ind w:firstLine="480"/>
        <w:rPr>
          <w:sz w:val="24"/>
          <w:szCs w:val="20"/>
        </w:rPr>
      </w:pPr>
      <w:r>
        <w:rPr>
          <w:sz w:val="24"/>
          <w:szCs w:val="20"/>
        </w:rPr>
        <w:t>（注：202</w:t>
      </w:r>
      <w:r>
        <w:rPr>
          <w:rFonts w:hint="eastAsia"/>
          <w:sz w:val="24"/>
          <w:szCs w:val="20"/>
          <w:lang w:val="en-US" w:eastAsia="zh-CN"/>
        </w:rPr>
        <w:t>4</w:t>
      </w:r>
      <w:r>
        <w:rPr>
          <w:sz w:val="24"/>
          <w:szCs w:val="20"/>
        </w:rPr>
        <w:t>年度的财务报表复印件（包括资产负债表、利润表或损益表、现金流量表，缺一不可。）</w:t>
      </w:r>
    </w:p>
    <w:p w14:paraId="7AE395F6">
      <w:pPr>
        <w:jc w:val="center"/>
        <w:rPr>
          <w:sz w:val="24"/>
        </w:rPr>
      </w:pPr>
    </w:p>
    <w:p w14:paraId="73FA98FB">
      <w:pPr>
        <w:pStyle w:val="15"/>
        <w:ind w:firstLine="480"/>
        <w:rPr>
          <w:sz w:val="24"/>
        </w:rPr>
      </w:pPr>
    </w:p>
    <w:sectPr>
      <w:headerReference r:id="rId8" w:type="default"/>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92BA7">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13</w:t>
    </w:r>
    <w:r>
      <w:fldChar w:fldCharType="end"/>
    </w:r>
  </w:p>
  <w:p w14:paraId="4CBAAFB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D935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A7526">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BA178E">
                          <w:pPr>
                            <w:pStyle w:val="11"/>
                            <w:rPr>
                              <w:rStyle w:val="19"/>
                            </w:rPr>
                          </w:pPr>
                          <w:r>
                            <w:fldChar w:fldCharType="begin"/>
                          </w:r>
                          <w:r>
                            <w:rPr>
                              <w:rStyle w:val="19"/>
                            </w:rPr>
                            <w:instrText xml:space="preserve">PAGE  </w:instrText>
                          </w:r>
                          <w:r>
                            <w:fldChar w:fldCharType="separate"/>
                          </w:r>
                          <w:r>
                            <w:rPr>
                              <w:rStyle w:val="19"/>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40BA178E">
                    <w:pPr>
                      <w:pStyle w:val="11"/>
                      <w:rPr>
                        <w:rStyle w:val="19"/>
                      </w:rPr>
                    </w:pPr>
                    <w:r>
                      <w:fldChar w:fldCharType="begin"/>
                    </w:r>
                    <w:r>
                      <w:rPr>
                        <w:rStyle w:val="19"/>
                      </w:rPr>
                      <w:instrText xml:space="preserve">PAGE  </w:instrText>
                    </w:r>
                    <w:r>
                      <w:fldChar w:fldCharType="separate"/>
                    </w:r>
                    <w:r>
                      <w:rPr>
                        <w:rStyle w:val="19"/>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41C9E">
    <w:pPr>
      <w:pStyle w:val="12"/>
    </w:pPr>
    <w:r>
      <w:rPr>
        <w:rFonts w:hint="eastAsia"/>
      </w:rPr>
      <w:tab/>
    </w:r>
    <w:r>
      <w:rPr>
        <w:rFonts w:hint="eastAsia"/>
      </w:rPr>
      <w:drawing>
        <wp:inline distT="0" distB="0" distL="114300" distR="114300">
          <wp:extent cx="1089660" cy="330200"/>
          <wp:effectExtent l="0" t="0" r="15240"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1089660" cy="330200"/>
                  </a:xfrm>
                  <a:prstGeom prst="rect">
                    <a:avLst/>
                  </a:prstGeom>
                  <a:noFill/>
                  <a:ln>
                    <a:noFill/>
                  </a:ln>
                </pic:spPr>
              </pic:pic>
            </a:graphicData>
          </a:graphic>
        </wp:inline>
      </w:drawing>
    </w:r>
    <w:r>
      <w:rPr>
        <w:rFonts w:hint="eastAsia" w:ascii="Arial" w:hAnsi="Arial" w:cs="Arial"/>
      </w:rPr>
      <w:t>大生纺织（合肥）有限公司托盘B</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9A301">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4F06F">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358E4">
    <w:pPr>
      <w:pStyle w:val="12"/>
      <w:jc w:val="right"/>
      <w:rPr>
        <w:rFonts w:hint="eastAsia"/>
      </w:rPr>
    </w:pPr>
    <w:r>
      <w:rPr>
        <w:rFonts w:hint="eastAsia"/>
      </w:rPr>
      <w:t>江苏</w:t>
    </w:r>
    <w:r>
      <w:rPr>
        <w:rFonts w:hint="eastAsia"/>
        <w:lang w:val="en-US" w:eastAsia="zh-CN"/>
      </w:rPr>
      <w:t>南通二棉</w:t>
    </w:r>
    <w:r>
      <w:rPr>
        <w:rFonts w:hint="eastAsia"/>
      </w:rPr>
      <w:t>有限公司</w:t>
    </w:r>
  </w:p>
  <w:p w14:paraId="232D7485">
    <w:pPr>
      <w:pStyle w:val="12"/>
      <w:jc w:val="right"/>
    </w:pPr>
    <w:r>
      <w:rPr>
        <w:rFonts w:hint="eastAsia"/>
      </w:rPr>
      <w:t>20</w:t>
    </w:r>
    <w:r>
      <w:rPr>
        <w:rFonts w:hint="eastAsia"/>
        <w:lang w:val="en-US" w:eastAsia="zh-CN"/>
      </w:rPr>
      <w:t>25</w:t>
    </w:r>
    <w:r>
      <w:rPr>
        <w:rFonts w:hint="eastAsia"/>
      </w:rPr>
      <w:t>年南通市工程技术研究中心认定</w:t>
    </w:r>
    <w:r>
      <w:rPr>
        <w:rFonts w:hint="eastAsia"/>
        <w:lang w:val="en-US" w:eastAsia="zh-CN"/>
      </w:rPr>
      <w:t>申报等技术咨询</w:t>
    </w:r>
    <w:r>
      <w:rPr>
        <w:rFonts w:hint="eastAsia"/>
      </w:rPr>
      <w:t>服务招标文件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993D3"/>
    <w:multiLevelType w:val="singleLevel"/>
    <w:tmpl w:val="A35993D3"/>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4Mjg3NjViOTliODYzNGE3OTI0ZWQ0OGFmNThmYTEifQ=="/>
  </w:docVars>
  <w:rsids>
    <w:rsidRoot w:val="3B574B5A"/>
    <w:rsid w:val="00000FAE"/>
    <w:rsid w:val="00003679"/>
    <w:rsid w:val="000044CF"/>
    <w:rsid w:val="000148F0"/>
    <w:rsid w:val="0001587B"/>
    <w:rsid w:val="0002184D"/>
    <w:rsid w:val="0002676B"/>
    <w:rsid w:val="00032B70"/>
    <w:rsid w:val="00034596"/>
    <w:rsid w:val="000364D2"/>
    <w:rsid w:val="00042B0B"/>
    <w:rsid w:val="00050C5E"/>
    <w:rsid w:val="000723CF"/>
    <w:rsid w:val="000970F9"/>
    <w:rsid w:val="0009760A"/>
    <w:rsid w:val="000B1BF1"/>
    <w:rsid w:val="000C3A48"/>
    <w:rsid w:val="000C7699"/>
    <w:rsid w:val="00114440"/>
    <w:rsid w:val="00121F02"/>
    <w:rsid w:val="001720A0"/>
    <w:rsid w:val="001833EE"/>
    <w:rsid w:val="00197554"/>
    <w:rsid w:val="001A576F"/>
    <w:rsid w:val="001B5C02"/>
    <w:rsid w:val="001C166B"/>
    <w:rsid w:val="001D0D17"/>
    <w:rsid w:val="001F44EB"/>
    <w:rsid w:val="00211CD3"/>
    <w:rsid w:val="00234AC7"/>
    <w:rsid w:val="00236FFE"/>
    <w:rsid w:val="0024485B"/>
    <w:rsid w:val="00252C6F"/>
    <w:rsid w:val="00257F8D"/>
    <w:rsid w:val="00263ADE"/>
    <w:rsid w:val="0026604C"/>
    <w:rsid w:val="0028129F"/>
    <w:rsid w:val="00281B1A"/>
    <w:rsid w:val="002934C9"/>
    <w:rsid w:val="002A2827"/>
    <w:rsid w:val="002A48F2"/>
    <w:rsid w:val="002A6036"/>
    <w:rsid w:val="002B35F5"/>
    <w:rsid w:val="002B4B04"/>
    <w:rsid w:val="002C1DF7"/>
    <w:rsid w:val="002C5273"/>
    <w:rsid w:val="002C53E5"/>
    <w:rsid w:val="002D5377"/>
    <w:rsid w:val="002E6340"/>
    <w:rsid w:val="0030614E"/>
    <w:rsid w:val="00307C40"/>
    <w:rsid w:val="00326A67"/>
    <w:rsid w:val="003601C8"/>
    <w:rsid w:val="00367F4B"/>
    <w:rsid w:val="00390FDA"/>
    <w:rsid w:val="003A19D1"/>
    <w:rsid w:val="003A4709"/>
    <w:rsid w:val="003B6FBC"/>
    <w:rsid w:val="003D6206"/>
    <w:rsid w:val="003E3DD8"/>
    <w:rsid w:val="003E6172"/>
    <w:rsid w:val="00400C45"/>
    <w:rsid w:val="00401716"/>
    <w:rsid w:val="004029C3"/>
    <w:rsid w:val="004138B4"/>
    <w:rsid w:val="00426D96"/>
    <w:rsid w:val="0043026D"/>
    <w:rsid w:val="00453451"/>
    <w:rsid w:val="004576CB"/>
    <w:rsid w:val="00457C4D"/>
    <w:rsid w:val="00460B2C"/>
    <w:rsid w:val="00461A32"/>
    <w:rsid w:val="004671C1"/>
    <w:rsid w:val="00473F1D"/>
    <w:rsid w:val="0047707C"/>
    <w:rsid w:val="004A7805"/>
    <w:rsid w:val="004C6D1F"/>
    <w:rsid w:val="004D74A3"/>
    <w:rsid w:val="004E71BB"/>
    <w:rsid w:val="004F1AE2"/>
    <w:rsid w:val="005136C2"/>
    <w:rsid w:val="00520957"/>
    <w:rsid w:val="00535373"/>
    <w:rsid w:val="00561602"/>
    <w:rsid w:val="00562806"/>
    <w:rsid w:val="005639A5"/>
    <w:rsid w:val="00565EEE"/>
    <w:rsid w:val="005755AA"/>
    <w:rsid w:val="005777FB"/>
    <w:rsid w:val="00590DF9"/>
    <w:rsid w:val="005A1FF6"/>
    <w:rsid w:val="005B0EB7"/>
    <w:rsid w:val="005B465C"/>
    <w:rsid w:val="005B57FE"/>
    <w:rsid w:val="005C174D"/>
    <w:rsid w:val="005C62CC"/>
    <w:rsid w:val="005D3BDB"/>
    <w:rsid w:val="005E4952"/>
    <w:rsid w:val="005F0FAC"/>
    <w:rsid w:val="005F421D"/>
    <w:rsid w:val="005F5173"/>
    <w:rsid w:val="005F5C14"/>
    <w:rsid w:val="00603EE6"/>
    <w:rsid w:val="00615DCE"/>
    <w:rsid w:val="006475E3"/>
    <w:rsid w:val="006633FB"/>
    <w:rsid w:val="00666834"/>
    <w:rsid w:val="00671294"/>
    <w:rsid w:val="0068796A"/>
    <w:rsid w:val="006A00CB"/>
    <w:rsid w:val="006C39EC"/>
    <w:rsid w:val="007018CF"/>
    <w:rsid w:val="007033E4"/>
    <w:rsid w:val="00705E0E"/>
    <w:rsid w:val="007257A4"/>
    <w:rsid w:val="00750DBD"/>
    <w:rsid w:val="007813F9"/>
    <w:rsid w:val="007843AE"/>
    <w:rsid w:val="007925E0"/>
    <w:rsid w:val="00797203"/>
    <w:rsid w:val="007C1976"/>
    <w:rsid w:val="007C3B79"/>
    <w:rsid w:val="007C64B4"/>
    <w:rsid w:val="007E063A"/>
    <w:rsid w:val="007E2F07"/>
    <w:rsid w:val="007E4C78"/>
    <w:rsid w:val="007F18C0"/>
    <w:rsid w:val="007F2E6B"/>
    <w:rsid w:val="00800EF5"/>
    <w:rsid w:val="00810D55"/>
    <w:rsid w:val="00817765"/>
    <w:rsid w:val="00842A44"/>
    <w:rsid w:val="008574BF"/>
    <w:rsid w:val="0087219D"/>
    <w:rsid w:val="008913ED"/>
    <w:rsid w:val="008B4D90"/>
    <w:rsid w:val="008E5896"/>
    <w:rsid w:val="00910C85"/>
    <w:rsid w:val="00934629"/>
    <w:rsid w:val="00940558"/>
    <w:rsid w:val="009453C6"/>
    <w:rsid w:val="00985C2A"/>
    <w:rsid w:val="009977ED"/>
    <w:rsid w:val="009A66D8"/>
    <w:rsid w:val="009B043C"/>
    <w:rsid w:val="009B200D"/>
    <w:rsid w:val="009B7EF0"/>
    <w:rsid w:val="009D6955"/>
    <w:rsid w:val="009E046A"/>
    <w:rsid w:val="00A1766F"/>
    <w:rsid w:val="00A22C8B"/>
    <w:rsid w:val="00A53EC1"/>
    <w:rsid w:val="00A55909"/>
    <w:rsid w:val="00A57B58"/>
    <w:rsid w:val="00A57E27"/>
    <w:rsid w:val="00A63415"/>
    <w:rsid w:val="00A74E0A"/>
    <w:rsid w:val="00A75616"/>
    <w:rsid w:val="00AB060D"/>
    <w:rsid w:val="00AC32C3"/>
    <w:rsid w:val="00AD20B8"/>
    <w:rsid w:val="00AE59EB"/>
    <w:rsid w:val="00AF441E"/>
    <w:rsid w:val="00B01787"/>
    <w:rsid w:val="00B13647"/>
    <w:rsid w:val="00B16015"/>
    <w:rsid w:val="00B31FE2"/>
    <w:rsid w:val="00B517DF"/>
    <w:rsid w:val="00B522EC"/>
    <w:rsid w:val="00B6353E"/>
    <w:rsid w:val="00B96150"/>
    <w:rsid w:val="00C26C42"/>
    <w:rsid w:val="00C736F8"/>
    <w:rsid w:val="00CC2ACD"/>
    <w:rsid w:val="00CC4DB0"/>
    <w:rsid w:val="00CD3DB1"/>
    <w:rsid w:val="00CD507A"/>
    <w:rsid w:val="00CD5CCA"/>
    <w:rsid w:val="00CE7806"/>
    <w:rsid w:val="00D534EA"/>
    <w:rsid w:val="00D55289"/>
    <w:rsid w:val="00D66703"/>
    <w:rsid w:val="00D903DA"/>
    <w:rsid w:val="00DA468A"/>
    <w:rsid w:val="00DC07E4"/>
    <w:rsid w:val="00DE0A96"/>
    <w:rsid w:val="00DF2056"/>
    <w:rsid w:val="00DF36A0"/>
    <w:rsid w:val="00E15D6D"/>
    <w:rsid w:val="00E55E7C"/>
    <w:rsid w:val="00E63533"/>
    <w:rsid w:val="00E64AA6"/>
    <w:rsid w:val="00E81874"/>
    <w:rsid w:val="00E912D8"/>
    <w:rsid w:val="00EA250C"/>
    <w:rsid w:val="00EA55D0"/>
    <w:rsid w:val="00EF020C"/>
    <w:rsid w:val="00F04406"/>
    <w:rsid w:val="00F04DA7"/>
    <w:rsid w:val="00F2163E"/>
    <w:rsid w:val="00F303E1"/>
    <w:rsid w:val="00F37B22"/>
    <w:rsid w:val="00F40F92"/>
    <w:rsid w:val="00F51ADB"/>
    <w:rsid w:val="00F662F9"/>
    <w:rsid w:val="00F6682B"/>
    <w:rsid w:val="00F730A2"/>
    <w:rsid w:val="00F77E5E"/>
    <w:rsid w:val="00F9552C"/>
    <w:rsid w:val="00F96051"/>
    <w:rsid w:val="00FC216B"/>
    <w:rsid w:val="00FC26EF"/>
    <w:rsid w:val="00FC4733"/>
    <w:rsid w:val="00FC6A54"/>
    <w:rsid w:val="00FC7881"/>
    <w:rsid w:val="00FE572F"/>
    <w:rsid w:val="00FE7E0D"/>
    <w:rsid w:val="016169AC"/>
    <w:rsid w:val="016805E2"/>
    <w:rsid w:val="023615AF"/>
    <w:rsid w:val="02A93B68"/>
    <w:rsid w:val="02F72304"/>
    <w:rsid w:val="038D51FF"/>
    <w:rsid w:val="039842CF"/>
    <w:rsid w:val="03B22EB7"/>
    <w:rsid w:val="03FA5331"/>
    <w:rsid w:val="0433224A"/>
    <w:rsid w:val="04421273"/>
    <w:rsid w:val="04DD413C"/>
    <w:rsid w:val="051F632A"/>
    <w:rsid w:val="05AD3B7D"/>
    <w:rsid w:val="05EF6377"/>
    <w:rsid w:val="060A1CE3"/>
    <w:rsid w:val="06345E06"/>
    <w:rsid w:val="06A66791"/>
    <w:rsid w:val="075A5360"/>
    <w:rsid w:val="07F25D3C"/>
    <w:rsid w:val="083E4D1A"/>
    <w:rsid w:val="08E510A5"/>
    <w:rsid w:val="08E7715F"/>
    <w:rsid w:val="08FB2C0B"/>
    <w:rsid w:val="09B61222"/>
    <w:rsid w:val="0A110510"/>
    <w:rsid w:val="0A7E2704"/>
    <w:rsid w:val="0A9B7630"/>
    <w:rsid w:val="0AC21C32"/>
    <w:rsid w:val="0AC31727"/>
    <w:rsid w:val="0B696551"/>
    <w:rsid w:val="0D391CD3"/>
    <w:rsid w:val="0D4F5EB2"/>
    <w:rsid w:val="0E4819EA"/>
    <w:rsid w:val="0EAA4844"/>
    <w:rsid w:val="0EB164FB"/>
    <w:rsid w:val="0ECF0DC1"/>
    <w:rsid w:val="0EF94B6F"/>
    <w:rsid w:val="0EFE5203"/>
    <w:rsid w:val="0F87344A"/>
    <w:rsid w:val="0FE64614"/>
    <w:rsid w:val="0FFC5BE6"/>
    <w:rsid w:val="101504F3"/>
    <w:rsid w:val="1032672B"/>
    <w:rsid w:val="10991687"/>
    <w:rsid w:val="10C36704"/>
    <w:rsid w:val="1137548A"/>
    <w:rsid w:val="11FF551A"/>
    <w:rsid w:val="12073CF9"/>
    <w:rsid w:val="12371255"/>
    <w:rsid w:val="12725376"/>
    <w:rsid w:val="12FF3433"/>
    <w:rsid w:val="138D79A0"/>
    <w:rsid w:val="13A13FFE"/>
    <w:rsid w:val="140747D1"/>
    <w:rsid w:val="140E5EE8"/>
    <w:rsid w:val="145B50FE"/>
    <w:rsid w:val="14AF2AB9"/>
    <w:rsid w:val="15DC3F34"/>
    <w:rsid w:val="16C43027"/>
    <w:rsid w:val="17946704"/>
    <w:rsid w:val="17CF344C"/>
    <w:rsid w:val="17E23913"/>
    <w:rsid w:val="17EC02EE"/>
    <w:rsid w:val="180B3B8C"/>
    <w:rsid w:val="18316649"/>
    <w:rsid w:val="192B6889"/>
    <w:rsid w:val="196A1E12"/>
    <w:rsid w:val="198A6011"/>
    <w:rsid w:val="199724DC"/>
    <w:rsid w:val="19D90D46"/>
    <w:rsid w:val="1A073B05"/>
    <w:rsid w:val="1A4536E5"/>
    <w:rsid w:val="1A84670E"/>
    <w:rsid w:val="1A8E1B30"/>
    <w:rsid w:val="1AD572D1"/>
    <w:rsid w:val="1ADC6D40"/>
    <w:rsid w:val="1AE7505F"/>
    <w:rsid w:val="1C472568"/>
    <w:rsid w:val="1C5D17BA"/>
    <w:rsid w:val="1C7B4E40"/>
    <w:rsid w:val="1C8E619A"/>
    <w:rsid w:val="1CAA0074"/>
    <w:rsid w:val="1D9456B0"/>
    <w:rsid w:val="1DD646D8"/>
    <w:rsid w:val="1E1C11A8"/>
    <w:rsid w:val="1E1D74D0"/>
    <w:rsid w:val="1E3B688A"/>
    <w:rsid w:val="1E452E62"/>
    <w:rsid w:val="1F412854"/>
    <w:rsid w:val="1F811342"/>
    <w:rsid w:val="1F8B663F"/>
    <w:rsid w:val="1F8D49AB"/>
    <w:rsid w:val="1FB75686"/>
    <w:rsid w:val="1FE040A6"/>
    <w:rsid w:val="1FEB224B"/>
    <w:rsid w:val="201172CE"/>
    <w:rsid w:val="20975F85"/>
    <w:rsid w:val="20AF50AD"/>
    <w:rsid w:val="20E00C0C"/>
    <w:rsid w:val="20E41C2C"/>
    <w:rsid w:val="20E7130A"/>
    <w:rsid w:val="212A4035"/>
    <w:rsid w:val="215B6FE5"/>
    <w:rsid w:val="215D225D"/>
    <w:rsid w:val="21751354"/>
    <w:rsid w:val="21BE09A0"/>
    <w:rsid w:val="224208CB"/>
    <w:rsid w:val="227E1E0F"/>
    <w:rsid w:val="23240455"/>
    <w:rsid w:val="233139A1"/>
    <w:rsid w:val="23685341"/>
    <w:rsid w:val="237B00A4"/>
    <w:rsid w:val="23965F3E"/>
    <w:rsid w:val="23B70A73"/>
    <w:rsid w:val="24046852"/>
    <w:rsid w:val="24520D82"/>
    <w:rsid w:val="24545B99"/>
    <w:rsid w:val="246A53BC"/>
    <w:rsid w:val="24707337"/>
    <w:rsid w:val="24981CF4"/>
    <w:rsid w:val="24EC4023"/>
    <w:rsid w:val="251D27EA"/>
    <w:rsid w:val="253414D8"/>
    <w:rsid w:val="25406D7D"/>
    <w:rsid w:val="257B138A"/>
    <w:rsid w:val="26323CB8"/>
    <w:rsid w:val="26EC5A83"/>
    <w:rsid w:val="273639E4"/>
    <w:rsid w:val="273B69A0"/>
    <w:rsid w:val="276E1EAA"/>
    <w:rsid w:val="27A6495D"/>
    <w:rsid w:val="283417A8"/>
    <w:rsid w:val="28A26A27"/>
    <w:rsid w:val="29020396"/>
    <w:rsid w:val="29171118"/>
    <w:rsid w:val="298A6048"/>
    <w:rsid w:val="29C015DB"/>
    <w:rsid w:val="2A224043"/>
    <w:rsid w:val="2A353D77"/>
    <w:rsid w:val="2A673D30"/>
    <w:rsid w:val="2A7A680A"/>
    <w:rsid w:val="2A7E2277"/>
    <w:rsid w:val="2B762633"/>
    <w:rsid w:val="2DA57465"/>
    <w:rsid w:val="2E0A551A"/>
    <w:rsid w:val="2E6C2B65"/>
    <w:rsid w:val="2E8243D2"/>
    <w:rsid w:val="2E951288"/>
    <w:rsid w:val="2EAB5D1F"/>
    <w:rsid w:val="2EB35A2B"/>
    <w:rsid w:val="2EF835C5"/>
    <w:rsid w:val="2EFE0BDB"/>
    <w:rsid w:val="2F1F6820"/>
    <w:rsid w:val="2F7516EC"/>
    <w:rsid w:val="2FEE6EA1"/>
    <w:rsid w:val="2FF33091"/>
    <w:rsid w:val="30CA7D39"/>
    <w:rsid w:val="311064E7"/>
    <w:rsid w:val="311C17EC"/>
    <w:rsid w:val="318A49A8"/>
    <w:rsid w:val="32257463"/>
    <w:rsid w:val="328B686E"/>
    <w:rsid w:val="32D02DC7"/>
    <w:rsid w:val="32F80037"/>
    <w:rsid w:val="33A15FD9"/>
    <w:rsid w:val="33D20888"/>
    <w:rsid w:val="342C7F98"/>
    <w:rsid w:val="35C36FF3"/>
    <w:rsid w:val="36EC1C61"/>
    <w:rsid w:val="37821C61"/>
    <w:rsid w:val="37F27F5D"/>
    <w:rsid w:val="37F7266B"/>
    <w:rsid w:val="38001E9A"/>
    <w:rsid w:val="382C0A9A"/>
    <w:rsid w:val="38727700"/>
    <w:rsid w:val="38E057F5"/>
    <w:rsid w:val="39116F86"/>
    <w:rsid w:val="3911775D"/>
    <w:rsid w:val="39FC040D"/>
    <w:rsid w:val="3A7F432A"/>
    <w:rsid w:val="3AAA7E69"/>
    <w:rsid w:val="3B574B5A"/>
    <w:rsid w:val="3BD60011"/>
    <w:rsid w:val="3BE92529"/>
    <w:rsid w:val="3BF67AA6"/>
    <w:rsid w:val="3C3878A8"/>
    <w:rsid w:val="3CAA11BA"/>
    <w:rsid w:val="3CF96E86"/>
    <w:rsid w:val="3D4802AC"/>
    <w:rsid w:val="3D9C247F"/>
    <w:rsid w:val="3E272BA7"/>
    <w:rsid w:val="3E450E1D"/>
    <w:rsid w:val="3E7B090E"/>
    <w:rsid w:val="3E865C57"/>
    <w:rsid w:val="3F1B39DE"/>
    <w:rsid w:val="3F6F51D3"/>
    <w:rsid w:val="3FFA53EF"/>
    <w:rsid w:val="40B05AAD"/>
    <w:rsid w:val="414A566A"/>
    <w:rsid w:val="41F411C5"/>
    <w:rsid w:val="421560EE"/>
    <w:rsid w:val="42674891"/>
    <w:rsid w:val="42CB6BCE"/>
    <w:rsid w:val="42DA1507"/>
    <w:rsid w:val="432213A0"/>
    <w:rsid w:val="43A4535A"/>
    <w:rsid w:val="44191BBB"/>
    <w:rsid w:val="446B6541"/>
    <w:rsid w:val="44821920"/>
    <w:rsid w:val="453737DA"/>
    <w:rsid w:val="45633A36"/>
    <w:rsid w:val="456F5F37"/>
    <w:rsid w:val="45E206BD"/>
    <w:rsid w:val="45E701E1"/>
    <w:rsid w:val="465B7C31"/>
    <w:rsid w:val="469D0882"/>
    <w:rsid w:val="46CE1383"/>
    <w:rsid w:val="46F85BC1"/>
    <w:rsid w:val="473C3669"/>
    <w:rsid w:val="4742089B"/>
    <w:rsid w:val="47AC3472"/>
    <w:rsid w:val="4828061F"/>
    <w:rsid w:val="488F68F0"/>
    <w:rsid w:val="49105C83"/>
    <w:rsid w:val="4916007F"/>
    <w:rsid w:val="49C34AA3"/>
    <w:rsid w:val="4B975F59"/>
    <w:rsid w:val="4C130BC2"/>
    <w:rsid w:val="4C2D4456"/>
    <w:rsid w:val="4C705DB6"/>
    <w:rsid w:val="4CFC19F3"/>
    <w:rsid w:val="4D662315"/>
    <w:rsid w:val="4D7F33D7"/>
    <w:rsid w:val="4DE6619C"/>
    <w:rsid w:val="4EA658DE"/>
    <w:rsid w:val="4EF41178"/>
    <w:rsid w:val="4EF424B5"/>
    <w:rsid w:val="4F941B38"/>
    <w:rsid w:val="4FD07F1A"/>
    <w:rsid w:val="5030215F"/>
    <w:rsid w:val="505701E8"/>
    <w:rsid w:val="506E029D"/>
    <w:rsid w:val="50AF18DD"/>
    <w:rsid w:val="50CE3567"/>
    <w:rsid w:val="518D3D92"/>
    <w:rsid w:val="51B353FD"/>
    <w:rsid w:val="51C84375"/>
    <w:rsid w:val="51ED6B61"/>
    <w:rsid w:val="52412A09"/>
    <w:rsid w:val="527F119B"/>
    <w:rsid w:val="52C32F11"/>
    <w:rsid w:val="52EF4B5B"/>
    <w:rsid w:val="54227140"/>
    <w:rsid w:val="546B259F"/>
    <w:rsid w:val="552503C0"/>
    <w:rsid w:val="5540344C"/>
    <w:rsid w:val="55E20F43"/>
    <w:rsid w:val="566C7EB7"/>
    <w:rsid w:val="5671778C"/>
    <w:rsid w:val="56A77F19"/>
    <w:rsid w:val="56FC33A3"/>
    <w:rsid w:val="575431DF"/>
    <w:rsid w:val="57620701"/>
    <w:rsid w:val="57EC0E06"/>
    <w:rsid w:val="57FF139C"/>
    <w:rsid w:val="585F3A95"/>
    <w:rsid w:val="58816255"/>
    <w:rsid w:val="592F4D5F"/>
    <w:rsid w:val="594D58F7"/>
    <w:rsid w:val="595E570B"/>
    <w:rsid w:val="5A9E2ACE"/>
    <w:rsid w:val="5ABC4FEC"/>
    <w:rsid w:val="5AFC6291"/>
    <w:rsid w:val="5B1A473F"/>
    <w:rsid w:val="5B743E4F"/>
    <w:rsid w:val="5B7C4461"/>
    <w:rsid w:val="5C802DD5"/>
    <w:rsid w:val="5CFF0505"/>
    <w:rsid w:val="5D39329B"/>
    <w:rsid w:val="5D4D2E8E"/>
    <w:rsid w:val="5D59645A"/>
    <w:rsid w:val="5D8B160C"/>
    <w:rsid w:val="5E476707"/>
    <w:rsid w:val="5E4A70E9"/>
    <w:rsid w:val="5E820E7A"/>
    <w:rsid w:val="5F1119B5"/>
    <w:rsid w:val="5F3C3A19"/>
    <w:rsid w:val="5FCD5AC0"/>
    <w:rsid w:val="5FED030C"/>
    <w:rsid w:val="608E086A"/>
    <w:rsid w:val="60BA2BAE"/>
    <w:rsid w:val="60E73CCC"/>
    <w:rsid w:val="60F33A68"/>
    <w:rsid w:val="6138147B"/>
    <w:rsid w:val="614645E5"/>
    <w:rsid w:val="61611B96"/>
    <w:rsid w:val="616927D7"/>
    <w:rsid w:val="617313A4"/>
    <w:rsid w:val="61C97908"/>
    <w:rsid w:val="62872BF0"/>
    <w:rsid w:val="634248A0"/>
    <w:rsid w:val="638564E1"/>
    <w:rsid w:val="65650ED6"/>
    <w:rsid w:val="660362CF"/>
    <w:rsid w:val="667B38A7"/>
    <w:rsid w:val="66E11A37"/>
    <w:rsid w:val="66F95B50"/>
    <w:rsid w:val="671865E2"/>
    <w:rsid w:val="674B7EA3"/>
    <w:rsid w:val="678371C8"/>
    <w:rsid w:val="67E46C6A"/>
    <w:rsid w:val="67E549DC"/>
    <w:rsid w:val="67E72DBC"/>
    <w:rsid w:val="68040BB8"/>
    <w:rsid w:val="68F465CF"/>
    <w:rsid w:val="698711F2"/>
    <w:rsid w:val="69BE4E1A"/>
    <w:rsid w:val="69E21005"/>
    <w:rsid w:val="6A266C5C"/>
    <w:rsid w:val="6A664983"/>
    <w:rsid w:val="6B1A2642"/>
    <w:rsid w:val="6B3B2900"/>
    <w:rsid w:val="6BB42046"/>
    <w:rsid w:val="6BCF404D"/>
    <w:rsid w:val="6BFE47F4"/>
    <w:rsid w:val="6BFF2299"/>
    <w:rsid w:val="6C8C65A8"/>
    <w:rsid w:val="6D642FAE"/>
    <w:rsid w:val="6D930BCE"/>
    <w:rsid w:val="6DB4632D"/>
    <w:rsid w:val="6DCA21A6"/>
    <w:rsid w:val="6E186C5C"/>
    <w:rsid w:val="6E48049E"/>
    <w:rsid w:val="6E4C0C5C"/>
    <w:rsid w:val="6E914558"/>
    <w:rsid w:val="6EFB277D"/>
    <w:rsid w:val="6F465D99"/>
    <w:rsid w:val="6F597AB0"/>
    <w:rsid w:val="70401DB2"/>
    <w:rsid w:val="705404AC"/>
    <w:rsid w:val="708C2C46"/>
    <w:rsid w:val="70F121DE"/>
    <w:rsid w:val="719E13E7"/>
    <w:rsid w:val="71F17DD5"/>
    <w:rsid w:val="722F207F"/>
    <w:rsid w:val="736D2632"/>
    <w:rsid w:val="73967BC9"/>
    <w:rsid w:val="73D5425F"/>
    <w:rsid w:val="7480340D"/>
    <w:rsid w:val="74B02C72"/>
    <w:rsid w:val="74DE0729"/>
    <w:rsid w:val="7500421A"/>
    <w:rsid w:val="759A5F7F"/>
    <w:rsid w:val="75A373B3"/>
    <w:rsid w:val="767301BF"/>
    <w:rsid w:val="76CA0970"/>
    <w:rsid w:val="76CC46E8"/>
    <w:rsid w:val="7700307D"/>
    <w:rsid w:val="77C73ED8"/>
    <w:rsid w:val="77CF019A"/>
    <w:rsid w:val="789144E8"/>
    <w:rsid w:val="78AA6CAB"/>
    <w:rsid w:val="78DA0511"/>
    <w:rsid w:val="791A5BDE"/>
    <w:rsid w:val="79273E57"/>
    <w:rsid w:val="796D4795"/>
    <w:rsid w:val="79A26392"/>
    <w:rsid w:val="79DC10E6"/>
    <w:rsid w:val="79FD5D77"/>
    <w:rsid w:val="7A0D129F"/>
    <w:rsid w:val="7B116B6D"/>
    <w:rsid w:val="7B3F192C"/>
    <w:rsid w:val="7BB579D8"/>
    <w:rsid w:val="7BF44941"/>
    <w:rsid w:val="7C8B0BA1"/>
    <w:rsid w:val="7CAD6D69"/>
    <w:rsid w:val="7CD858BD"/>
    <w:rsid w:val="7CEE5F00"/>
    <w:rsid w:val="7D32345A"/>
    <w:rsid w:val="7D466C4C"/>
    <w:rsid w:val="7D913975"/>
    <w:rsid w:val="7D944D9E"/>
    <w:rsid w:val="7F690301"/>
    <w:rsid w:val="7FE02489"/>
    <w:rsid w:val="7FE31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qFormat/>
    <w:uiPriority w:val="0"/>
    <w:pPr>
      <w:jc w:val="left"/>
    </w:pPr>
  </w:style>
  <w:style w:type="paragraph" w:styleId="6">
    <w:name w:val="Body Text"/>
    <w:basedOn w:val="1"/>
    <w:link w:val="28"/>
    <w:autoRedefine/>
    <w:qFormat/>
    <w:uiPriority w:val="0"/>
    <w:pPr>
      <w:spacing w:after="120" w:line="360" w:lineRule="auto"/>
    </w:pPr>
    <w:rPr>
      <w:rFonts w:eastAsia="宋体"/>
      <w:sz w:val="24"/>
    </w:rPr>
  </w:style>
  <w:style w:type="paragraph" w:styleId="7">
    <w:name w:val="Body Text Indent"/>
    <w:basedOn w:val="1"/>
    <w:autoRedefine/>
    <w:qFormat/>
    <w:uiPriority w:val="0"/>
    <w:pPr>
      <w:spacing w:line="360" w:lineRule="auto"/>
      <w:ind w:firstLine="480" w:firstLineChars="200"/>
    </w:pPr>
    <w:rPr>
      <w:sz w:val="24"/>
    </w:rPr>
  </w:style>
  <w:style w:type="paragraph" w:styleId="8">
    <w:name w:val="toc 3"/>
    <w:basedOn w:val="1"/>
    <w:next w:val="1"/>
    <w:autoRedefine/>
    <w:semiHidden/>
    <w:qFormat/>
    <w:uiPriority w:val="0"/>
    <w:pPr>
      <w:ind w:left="420"/>
      <w:jc w:val="left"/>
    </w:pPr>
    <w:rPr>
      <w:i/>
      <w:iCs/>
    </w:rPr>
  </w:style>
  <w:style w:type="paragraph" w:styleId="9">
    <w:name w:val="Date"/>
    <w:basedOn w:val="1"/>
    <w:next w:val="1"/>
    <w:link w:val="36"/>
    <w:autoRedefine/>
    <w:qFormat/>
    <w:uiPriority w:val="0"/>
    <w:pPr>
      <w:ind w:left="100" w:leftChars="2500"/>
    </w:pPr>
  </w:style>
  <w:style w:type="paragraph" w:styleId="10">
    <w:name w:val="Balloon Text"/>
    <w:basedOn w:val="1"/>
    <w:link w:val="26"/>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szCs w:val="20"/>
    </w:rPr>
  </w:style>
  <w:style w:type="paragraph" w:styleId="12">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semiHidden/>
    <w:qFormat/>
    <w:uiPriority w:val="0"/>
    <w:pPr>
      <w:tabs>
        <w:tab w:val="right" w:leader="dot" w:pos="8302"/>
      </w:tabs>
      <w:spacing w:before="100" w:beforeAutospacing="1" w:after="100" w:afterAutospacing="1"/>
      <w:jc w:val="left"/>
    </w:pPr>
    <w:rPr>
      <w:rFonts w:ascii="黑体" w:hAnsi="Arial" w:eastAsia="黑体" w:cs="Arial"/>
      <w:b/>
      <w:bCs/>
      <w:caps/>
      <w:sz w:val="24"/>
    </w:rPr>
  </w:style>
  <w:style w:type="paragraph" w:styleId="14">
    <w:name w:val="toc 2"/>
    <w:basedOn w:val="1"/>
    <w:next w:val="1"/>
    <w:autoRedefine/>
    <w:semiHidden/>
    <w:qFormat/>
    <w:uiPriority w:val="0"/>
    <w:pPr>
      <w:ind w:left="210"/>
      <w:jc w:val="left"/>
    </w:pPr>
    <w:rPr>
      <w:smallCaps/>
    </w:rPr>
  </w:style>
  <w:style w:type="paragraph" w:styleId="15">
    <w:name w:val="Body Text First Indent 2"/>
    <w:basedOn w:val="7"/>
    <w:link w:val="35"/>
    <w:autoRedefine/>
    <w:qFormat/>
    <w:uiPriority w:val="0"/>
    <w:pPr>
      <w:spacing w:after="120" w:line="360" w:lineRule="auto"/>
      <w:ind w:left="420" w:leftChars="200" w:firstLine="0" w:firstLineChars="0"/>
    </w:pPr>
    <w:rPr>
      <w:rFonts w:eastAsia="宋体"/>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style>
  <w:style w:type="character" w:styleId="20">
    <w:name w:val="Hyperlink"/>
    <w:autoRedefine/>
    <w:qFormat/>
    <w:uiPriority w:val="0"/>
    <w:rPr>
      <w:color w:val="0000FF"/>
      <w:u w:val="single"/>
    </w:rPr>
  </w:style>
  <w:style w:type="character" w:styleId="21">
    <w:name w:val="annotation reference"/>
    <w:basedOn w:val="18"/>
    <w:autoRedefine/>
    <w:qFormat/>
    <w:uiPriority w:val="0"/>
    <w:rPr>
      <w:sz w:val="21"/>
      <w:szCs w:val="21"/>
    </w:rPr>
  </w:style>
  <w:style w:type="paragraph" w:customStyle="1" w:styleId="2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未处理的提及1"/>
    <w:basedOn w:val="18"/>
    <w:autoRedefine/>
    <w:semiHidden/>
    <w:unhideWhenUsed/>
    <w:qFormat/>
    <w:uiPriority w:val="99"/>
    <w:rPr>
      <w:color w:val="605E5C"/>
      <w:shd w:val="clear" w:color="auto" w:fill="E1DFDD"/>
    </w:rPr>
  </w:style>
  <w:style w:type="character" w:customStyle="1" w:styleId="24">
    <w:name w:val="页眉 字符"/>
    <w:basedOn w:val="18"/>
    <w:link w:val="12"/>
    <w:autoRedefine/>
    <w:qFormat/>
    <w:uiPriority w:val="0"/>
    <w:rPr>
      <w:rFonts w:ascii="Times New Roman" w:hAnsi="Times New Roman" w:eastAsia="宋体" w:cs="Times New Roman"/>
      <w:kern w:val="2"/>
      <w:sz w:val="18"/>
      <w:szCs w:val="18"/>
    </w:rPr>
  </w:style>
  <w:style w:type="paragraph" w:styleId="2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批注框文本 字符"/>
    <w:basedOn w:val="18"/>
    <w:link w:val="10"/>
    <w:autoRedefine/>
    <w:qFormat/>
    <w:uiPriority w:val="0"/>
    <w:rPr>
      <w:rFonts w:ascii="Times New Roman" w:hAnsi="Times New Roman" w:eastAsia="宋体" w:cs="Times New Roman"/>
      <w:kern w:val="2"/>
      <w:sz w:val="18"/>
      <w:szCs w:val="18"/>
    </w:rPr>
  </w:style>
  <w:style w:type="paragraph" w:styleId="27">
    <w:name w:val="List Paragraph"/>
    <w:basedOn w:val="1"/>
    <w:autoRedefine/>
    <w:unhideWhenUsed/>
    <w:qFormat/>
    <w:uiPriority w:val="99"/>
    <w:pPr>
      <w:ind w:firstLine="420" w:firstLineChars="200"/>
    </w:pPr>
  </w:style>
  <w:style w:type="character" w:customStyle="1" w:styleId="28">
    <w:name w:val="正文文本 字符"/>
    <w:basedOn w:val="18"/>
    <w:link w:val="6"/>
    <w:autoRedefine/>
    <w:qFormat/>
    <w:uiPriority w:val="0"/>
    <w:rPr>
      <w:rFonts w:ascii="Times New Roman" w:hAnsi="Times New Roman" w:eastAsia="宋体" w:cs="Times New Roman"/>
      <w:kern w:val="2"/>
      <w:sz w:val="24"/>
      <w:szCs w:val="24"/>
    </w:rPr>
  </w:style>
  <w:style w:type="character" w:customStyle="1" w:styleId="29">
    <w:name w:val="正文文本_"/>
    <w:basedOn w:val="18"/>
    <w:link w:val="30"/>
    <w:autoRedefine/>
    <w:qFormat/>
    <w:uiPriority w:val="0"/>
    <w:rPr>
      <w:rFonts w:ascii="黑体" w:hAnsi="黑体" w:eastAsia="宋体" w:cs="黑体"/>
      <w:sz w:val="24"/>
      <w:szCs w:val="46"/>
      <w:shd w:val="clear" w:color="auto" w:fill="FFFFFF"/>
      <w:lang w:val="zh-CN" w:bidi="zh-CN"/>
    </w:rPr>
  </w:style>
  <w:style w:type="paragraph" w:customStyle="1" w:styleId="30">
    <w:name w:val="正文文本1"/>
    <w:basedOn w:val="1"/>
    <w:link w:val="29"/>
    <w:autoRedefine/>
    <w:qFormat/>
    <w:uiPriority w:val="0"/>
    <w:pPr>
      <w:shd w:val="clear" w:color="auto" w:fill="FFFFFF"/>
      <w:spacing w:line="360" w:lineRule="auto"/>
      <w:jc w:val="left"/>
    </w:pPr>
    <w:rPr>
      <w:rFonts w:ascii="黑体" w:hAnsi="黑体" w:eastAsia="宋体" w:cs="黑体"/>
      <w:kern w:val="0"/>
      <w:sz w:val="24"/>
      <w:szCs w:val="46"/>
      <w:lang w:val="zh-CN" w:bidi="zh-CN"/>
    </w:rPr>
  </w:style>
  <w:style w:type="character" w:customStyle="1" w:styleId="31">
    <w:name w:val="正文文本 (3)_"/>
    <w:basedOn w:val="18"/>
    <w:link w:val="32"/>
    <w:autoRedefine/>
    <w:qFormat/>
    <w:uiPriority w:val="0"/>
    <w:rPr>
      <w:rFonts w:ascii="黑体" w:hAnsi="黑体" w:eastAsia="黑体" w:cs="黑体"/>
      <w:sz w:val="26"/>
      <w:szCs w:val="26"/>
      <w:shd w:val="clear" w:color="auto" w:fill="FFFFFF"/>
      <w:lang w:val="zh-CN" w:bidi="zh-CN"/>
    </w:rPr>
  </w:style>
  <w:style w:type="paragraph" w:customStyle="1" w:styleId="32">
    <w:name w:val="正文文本 (3)"/>
    <w:basedOn w:val="1"/>
    <w:link w:val="31"/>
    <w:autoRedefine/>
    <w:qFormat/>
    <w:uiPriority w:val="0"/>
    <w:pPr>
      <w:shd w:val="clear" w:color="auto" w:fill="FFFFFF"/>
      <w:jc w:val="left"/>
    </w:pPr>
    <w:rPr>
      <w:rFonts w:ascii="黑体" w:hAnsi="黑体" w:eastAsia="黑体" w:cs="黑体"/>
      <w:kern w:val="0"/>
      <w:sz w:val="26"/>
      <w:szCs w:val="26"/>
      <w:lang w:val="zh-CN" w:bidi="zh-CN"/>
    </w:rPr>
  </w:style>
  <w:style w:type="character" w:customStyle="1" w:styleId="33">
    <w:name w:val="正文文本 (2)_"/>
    <w:basedOn w:val="18"/>
    <w:link w:val="34"/>
    <w:autoRedefine/>
    <w:qFormat/>
    <w:uiPriority w:val="0"/>
    <w:rPr>
      <w:rFonts w:ascii="Arial" w:hAnsi="Arial" w:eastAsia="Arial" w:cs="Arial"/>
      <w:sz w:val="46"/>
      <w:szCs w:val="46"/>
      <w:shd w:val="clear" w:color="auto" w:fill="FFFFFF"/>
      <w:lang w:val="zh-CN" w:bidi="zh-CN"/>
    </w:rPr>
  </w:style>
  <w:style w:type="paragraph" w:customStyle="1" w:styleId="34">
    <w:name w:val="正文文本 (2)"/>
    <w:basedOn w:val="1"/>
    <w:link w:val="33"/>
    <w:autoRedefine/>
    <w:qFormat/>
    <w:uiPriority w:val="0"/>
    <w:pPr>
      <w:shd w:val="clear" w:color="auto" w:fill="FFFFFF"/>
      <w:spacing w:line="430" w:lineRule="auto"/>
      <w:jc w:val="left"/>
    </w:pPr>
    <w:rPr>
      <w:rFonts w:ascii="Arial" w:hAnsi="Arial" w:eastAsia="Arial" w:cs="Arial"/>
      <w:kern w:val="0"/>
      <w:sz w:val="46"/>
      <w:szCs w:val="46"/>
      <w:lang w:val="zh-CN" w:bidi="zh-CN"/>
    </w:rPr>
  </w:style>
  <w:style w:type="character" w:customStyle="1" w:styleId="35">
    <w:name w:val="正文文本首行缩进 2 字符"/>
    <w:basedOn w:val="18"/>
    <w:link w:val="15"/>
    <w:autoRedefine/>
    <w:qFormat/>
    <w:uiPriority w:val="0"/>
    <w:rPr>
      <w:rFonts w:ascii="Times New Roman" w:hAnsi="Times New Roman" w:eastAsia="宋体" w:cs="Times New Roman"/>
      <w:kern w:val="2"/>
      <w:sz w:val="24"/>
      <w:szCs w:val="24"/>
    </w:rPr>
  </w:style>
  <w:style w:type="character" w:customStyle="1" w:styleId="36">
    <w:name w:val="日期 字符"/>
    <w:basedOn w:val="18"/>
    <w:link w:val="9"/>
    <w:autoRedefine/>
    <w:qFormat/>
    <w:uiPriority w:val="0"/>
    <w:rPr>
      <w:rFonts w:ascii="Times New Roman" w:hAnsi="Times New Roman" w:eastAsia="宋体" w:cs="Times New Roman"/>
      <w:kern w:val="2"/>
      <w:sz w:val="21"/>
      <w:szCs w:val="24"/>
    </w:rPr>
  </w:style>
  <w:style w:type="character" w:customStyle="1" w:styleId="37">
    <w:name w:val="font11"/>
    <w:basedOn w:val="18"/>
    <w:autoRedefine/>
    <w:qFormat/>
    <w:uiPriority w:val="0"/>
    <w:rPr>
      <w:rFonts w:hint="eastAsia" w:ascii="宋体" w:hAnsi="宋体" w:eastAsia="宋体" w:cs="宋体"/>
      <w:color w:val="000000"/>
      <w:sz w:val="20"/>
      <w:szCs w:val="20"/>
      <w:u w:val="none"/>
    </w:rPr>
  </w:style>
  <w:style w:type="character" w:customStyle="1" w:styleId="38">
    <w:name w:val="font91"/>
    <w:basedOn w:val="18"/>
    <w:autoRedefine/>
    <w:qFormat/>
    <w:uiPriority w:val="0"/>
    <w:rPr>
      <w:rFonts w:hint="eastAsia" w:ascii="宋体" w:hAnsi="宋体" w:eastAsia="宋体" w:cs="宋体"/>
      <w:color w:val="000000"/>
      <w:sz w:val="20"/>
      <w:szCs w:val="20"/>
      <w:u w:val="none"/>
    </w:rPr>
  </w:style>
  <w:style w:type="paragraph" w:customStyle="1" w:styleId="39">
    <w:name w:val="Table Paragraph"/>
    <w:basedOn w:val="1"/>
    <w:autoRedefine/>
    <w:qFormat/>
    <w:uiPriority w:val="1"/>
    <w:pPr>
      <w:spacing w:before="2"/>
      <w:ind w:left="107"/>
    </w:pPr>
    <w:rPr>
      <w:rFonts w:ascii="宋体" w:hAnsi="宋体" w:cs="宋体"/>
      <w:lang w:val="zh-CN" w:bidi="zh-CN"/>
    </w:rPr>
  </w:style>
  <w:style w:type="paragraph" w:customStyle="1" w:styleId="40">
    <w:name w:val="列出段落1"/>
    <w:basedOn w:val="1"/>
    <w:autoRedefine/>
    <w:unhideWhenUsed/>
    <w:qFormat/>
    <w:uiPriority w:val="99"/>
    <w:pPr>
      <w:ind w:firstLine="420" w:firstLineChars="200"/>
    </w:pPr>
  </w:style>
  <w:style w:type="table" w:customStyle="1" w:styleId="41">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3247</Words>
  <Characters>3307</Characters>
  <Lines>8</Lines>
  <Paragraphs>10</Paragraphs>
  <TotalTime>15</TotalTime>
  <ScaleCrop>false</ScaleCrop>
  <LinksUpToDate>false</LinksUpToDate>
  <CharactersWithSpaces>3464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2023-11-13T06:14:00Z</dcterms:created>
  <dc:creator>Emotiona</dc:creator>
  <cp:lastModifiedBy>走过</cp:lastModifiedBy>
  <cp:lastPrinted>2023-02-23T06:08:00Z</cp:lastPrinted>
  <dcterms:modified xsi:type="dcterms:W3CDTF">2025-05-08T00:10:19Z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A294DBDF620848DE9A1A54E4D1E978B7_13</vt:lpwstr>
  </property>
  <property fmtid="{D5CDD505-2E9C-101B-9397-08002B2CF9AE}" pid="4" name="KSOTemplateDocerSaveRecord">
    <vt:lpwstr>eyJoZGlkIjoiMTQzYmUzMWIyYjcyMTdiY2NlODE5NTgyYzY4OWViN2IiLCJ1c2VySWQiOiIxMTQyMjQwNjUwIn0=</vt:lpwstr>
  </property>
</Properties>
</file>