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7526D">
      <w:pPr>
        <w:tabs>
          <w:tab w:val="left" w:pos="5760"/>
          <w:tab w:val="left" w:pos="6300"/>
        </w:tabs>
        <w:snapToGrid w:val="0"/>
        <w:spacing w:line="300" w:lineRule="auto"/>
        <w:jc w:val="center"/>
        <w:rPr>
          <w:rFonts w:ascii="宋体" w:hAnsi="宋体" w:eastAsia="宋体" w:cs="宋体"/>
          <w:b/>
          <w:sz w:val="44"/>
          <w:szCs w:val="44"/>
        </w:rPr>
      </w:pPr>
    </w:p>
    <w:p w14:paraId="7AE499B1">
      <w:pPr>
        <w:tabs>
          <w:tab w:val="left" w:pos="5760"/>
          <w:tab w:val="left" w:pos="6300"/>
        </w:tabs>
        <w:snapToGrid w:val="0"/>
        <w:spacing w:line="300" w:lineRule="auto"/>
        <w:jc w:val="center"/>
        <w:rPr>
          <w:rFonts w:ascii="宋体" w:hAnsi="宋体" w:eastAsia="宋体" w:cs="宋体"/>
          <w:b/>
          <w:sz w:val="44"/>
          <w:szCs w:val="44"/>
        </w:rPr>
      </w:pPr>
      <w:r>
        <w:rPr>
          <w:rFonts w:hint="eastAsia" w:ascii="宋体" w:hAnsi="宋体" w:eastAsia="宋体" w:cs="宋体"/>
          <w:b/>
          <w:sz w:val="44"/>
          <w:szCs w:val="44"/>
        </w:rPr>
        <w:t>江苏大生集团信息化系统改造项目</w:t>
      </w:r>
    </w:p>
    <w:p w14:paraId="0332965F">
      <w:pPr>
        <w:jc w:val="center"/>
        <w:rPr>
          <w:rFonts w:ascii="宋体" w:hAnsi="宋体" w:eastAsia="宋体" w:cs="宋体"/>
          <w:b/>
          <w:bCs/>
          <w:w w:val="80"/>
          <w:sz w:val="52"/>
          <w:szCs w:val="52"/>
        </w:rPr>
      </w:pPr>
    </w:p>
    <w:p w14:paraId="17F4B3EE">
      <w:pPr>
        <w:jc w:val="center"/>
        <w:rPr>
          <w:rFonts w:ascii="宋体" w:hAnsi="宋体" w:eastAsia="宋体" w:cs="宋体"/>
          <w:b/>
          <w:bCs/>
          <w:w w:val="80"/>
          <w:sz w:val="52"/>
          <w:szCs w:val="52"/>
        </w:rPr>
      </w:pPr>
    </w:p>
    <w:p w14:paraId="65588BBD">
      <w:pPr>
        <w:pStyle w:val="2"/>
        <w:ind w:left="480" w:firstLine="480"/>
      </w:pPr>
    </w:p>
    <w:p w14:paraId="74753FBC">
      <w:pPr>
        <w:pStyle w:val="2"/>
        <w:ind w:left="480" w:firstLine="480"/>
      </w:pPr>
    </w:p>
    <w:p w14:paraId="5C5A142D">
      <w:pPr>
        <w:pStyle w:val="2"/>
        <w:ind w:left="480" w:firstLine="480"/>
      </w:pPr>
    </w:p>
    <w:p w14:paraId="3B0B160D">
      <w:pPr>
        <w:tabs>
          <w:tab w:val="left" w:pos="6300"/>
        </w:tabs>
        <w:snapToGrid w:val="0"/>
        <w:spacing w:line="300" w:lineRule="auto"/>
        <w:jc w:val="center"/>
        <w:rPr>
          <w:rFonts w:ascii="宋体" w:hAnsi="宋体" w:eastAsia="宋体" w:cs="宋体"/>
          <w:w w:val="80"/>
          <w:sz w:val="72"/>
          <w:szCs w:val="72"/>
        </w:rPr>
      </w:pPr>
      <w:r>
        <w:rPr>
          <w:rFonts w:hint="eastAsia" w:ascii="宋体" w:hAnsi="宋体" w:eastAsia="宋体" w:cs="宋体"/>
          <w:color w:val="000000"/>
          <w:w w:val="80"/>
          <w:sz w:val="72"/>
          <w:szCs w:val="72"/>
        </w:rPr>
        <w:t>竞争性谈判文件</w:t>
      </w:r>
    </w:p>
    <w:p w14:paraId="08AE1D27">
      <w:pPr>
        <w:pStyle w:val="2"/>
        <w:ind w:left="480" w:firstLine="480"/>
      </w:pPr>
    </w:p>
    <w:p w14:paraId="758B292A">
      <w:pPr>
        <w:pStyle w:val="2"/>
        <w:ind w:left="480" w:firstLine="480"/>
      </w:pPr>
    </w:p>
    <w:p w14:paraId="75F6D90D">
      <w:pPr>
        <w:snapToGrid w:val="0"/>
        <w:spacing w:line="360" w:lineRule="auto"/>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项目编号: JSKJ2026019（JT001）</w:t>
      </w:r>
    </w:p>
    <w:p w14:paraId="67B2365C">
      <w:pPr>
        <w:snapToGrid w:val="0"/>
        <w:spacing w:line="360" w:lineRule="auto"/>
        <w:rPr>
          <w:rFonts w:ascii="宋体" w:hAnsi="宋体" w:eastAsia="宋体" w:cs="宋体"/>
          <w:b/>
          <w:bCs/>
          <w:sz w:val="32"/>
          <w:szCs w:val="32"/>
        </w:rPr>
      </w:pPr>
    </w:p>
    <w:p w14:paraId="2C1C652A">
      <w:pPr>
        <w:snapToGrid w:val="0"/>
        <w:spacing w:line="360" w:lineRule="auto"/>
        <w:jc w:val="center"/>
        <w:rPr>
          <w:rFonts w:ascii="宋体" w:hAnsi="宋体" w:eastAsia="宋体" w:cs="宋体"/>
          <w:b/>
          <w:bCs/>
          <w:sz w:val="32"/>
          <w:szCs w:val="32"/>
        </w:rPr>
      </w:pPr>
    </w:p>
    <w:p w14:paraId="4DAD1B77">
      <w:pPr>
        <w:pStyle w:val="2"/>
        <w:ind w:left="480" w:firstLine="480"/>
      </w:pPr>
    </w:p>
    <w:p w14:paraId="39F2D663">
      <w:pPr>
        <w:pStyle w:val="2"/>
        <w:ind w:left="480" w:firstLine="480"/>
      </w:pPr>
    </w:p>
    <w:p w14:paraId="0CB130FD">
      <w:pPr>
        <w:tabs>
          <w:tab w:val="left" w:pos="1050"/>
          <w:tab w:val="center" w:pos="5022"/>
        </w:tabs>
        <w:spacing w:line="720" w:lineRule="auto"/>
        <w:ind w:firstLine="1285" w:firstLineChars="400"/>
        <w:rPr>
          <w:rFonts w:ascii="宋体" w:hAnsi="宋体" w:eastAsia="宋体" w:cs="宋体"/>
          <w:b/>
          <w:bCs/>
          <w:sz w:val="32"/>
          <w:szCs w:val="32"/>
        </w:rPr>
      </w:pPr>
      <w:r>
        <w:rPr>
          <w:rFonts w:ascii="宋体" w:hAnsi="宋体" w:eastAsia="宋体" w:cs="宋体"/>
          <w:b/>
          <w:bCs/>
          <w:sz w:val="32"/>
          <w:szCs w:val="32"/>
        </w:rPr>
        <w:tab/>
      </w:r>
      <w:r>
        <w:rPr>
          <w:rFonts w:ascii="宋体" w:hAnsi="宋体" w:eastAsia="宋体" w:cs="宋体"/>
          <w:b/>
          <w:bCs/>
          <w:sz w:val="32"/>
          <w:szCs w:val="32"/>
        </w:rPr>
        <w:tab/>
      </w:r>
    </w:p>
    <w:p w14:paraId="17F5FC8C">
      <w:pPr>
        <w:tabs>
          <w:tab w:val="right" w:leader="dot" w:pos="9402"/>
        </w:tabs>
        <w:spacing w:line="480" w:lineRule="auto"/>
        <w:rPr>
          <w:rFonts w:ascii="宋体" w:hAnsi="宋体" w:eastAsia="宋体" w:cs="宋体"/>
          <w:sz w:val="32"/>
          <w:szCs w:val="32"/>
        </w:rPr>
      </w:pPr>
      <w:r>
        <w:rPr>
          <w:rFonts w:hint="eastAsia" w:ascii="宋体" w:hAnsi="宋体" w:eastAsia="宋体" w:cs="宋体"/>
          <w:sz w:val="32"/>
          <w:szCs w:val="32"/>
        </w:rPr>
        <w:t xml:space="preserve">     采 购 单 位：</w:t>
      </w:r>
      <w:r>
        <w:rPr>
          <w:rFonts w:hint="eastAsia" w:ascii="宋体" w:hAnsi="宋体" w:eastAsia="宋体" w:cs="宋体"/>
          <w:color w:val="000000" w:themeColor="text1"/>
          <w:sz w:val="32"/>
          <w:szCs w:val="32"/>
          <w14:textFill>
            <w14:solidFill>
              <w14:schemeClr w14:val="tx1"/>
            </w14:solidFill>
          </w14:textFill>
        </w:rPr>
        <w:t>江苏大生集团有限公司</w:t>
      </w:r>
    </w:p>
    <w:p w14:paraId="23C1D439">
      <w:pPr>
        <w:tabs>
          <w:tab w:val="left" w:pos="1050"/>
          <w:tab w:val="right" w:leader="dot" w:pos="9402"/>
        </w:tabs>
        <w:spacing w:line="480" w:lineRule="auto"/>
        <w:rPr>
          <w:rFonts w:ascii="宋体" w:hAnsi="宋体" w:eastAsia="宋体" w:cs="宋体"/>
          <w:sz w:val="32"/>
          <w:szCs w:val="32"/>
        </w:rPr>
      </w:pPr>
      <w:r>
        <w:rPr>
          <w:rFonts w:hint="eastAsia" w:ascii="宋体" w:hAnsi="宋体" w:eastAsia="宋体" w:cs="宋体"/>
          <w:sz w:val="32"/>
          <w:szCs w:val="32"/>
        </w:rPr>
        <w:t xml:space="preserve">    采购代理机构：江苏科建工程项目管理有限公司 </w:t>
      </w:r>
    </w:p>
    <w:p w14:paraId="27BBD7D2">
      <w:pPr>
        <w:tabs>
          <w:tab w:val="left" w:pos="1050"/>
          <w:tab w:val="right" w:leader="dot" w:pos="9402"/>
        </w:tabs>
        <w:spacing w:line="480" w:lineRule="auto"/>
        <w:ind w:firstLine="640" w:firstLineChars="200"/>
        <w:rPr>
          <w:rFonts w:ascii="宋体" w:hAnsi="宋体" w:eastAsia="宋体" w:cs="宋体"/>
          <w:color w:val="000000" w:themeColor="text1"/>
          <w:sz w:val="32"/>
          <w:szCs w:val="32"/>
          <w14:textFill>
            <w14:solidFill>
              <w14:schemeClr w14:val="tx1"/>
            </w14:solidFill>
          </w14:textFill>
        </w:rPr>
        <w:sectPr>
          <w:footerReference r:id="rId3" w:type="default"/>
          <w:pgSz w:w="11906" w:h="16838"/>
          <w:pgMar w:top="1418" w:right="1133" w:bottom="1135" w:left="1418" w:header="851" w:footer="471" w:gutter="0"/>
          <w:cols w:space="425" w:num="1"/>
          <w:titlePg/>
          <w:docGrid w:type="lines" w:linePitch="326" w:charSpace="0"/>
        </w:sectPr>
      </w:pPr>
      <w:r>
        <w:rPr>
          <w:rFonts w:hint="eastAsia" w:ascii="宋体" w:hAnsi="宋体" w:eastAsia="宋体" w:cs="宋体"/>
          <w:color w:val="000000" w:themeColor="text1"/>
          <w:sz w:val="32"/>
          <w:szCs w:val="32"/>
          <w14:textFill>
            <w14:solidFill>
              <w14:schemeClr w14:val="tx1"/>
            </w14:solidFill>
          </w14:textFill>
        </w:rPr>
        <w:t>日        期：二〇二六年三月</w:t>
      </w:r>
    </w:p>
    <w:p w14:paraId="058ED685">
      <w:pPr>
        <w:tabs>
          <w:tab w:val="left" w:pos="1050"/>
          <w:tab w:val="right" w:leader="dot" w:pos="9402"/>
        </w:tabs>
        <w:spacing w:line="480" w:lineRule="auto"/>
        <w:jc w:val="center"/>
        <w:rPr>
          <w:rFonts w:ascii="宋体" w:hAnsi="宋体" w:eastAsia="宋体" w:cs="宋体"/>
          <w:b/>
          <w:bCs/>
          <w:w w:val="80"/>
          <w:sz w:val="44"/>
          <w:szCs w:val="44"/>
        </w:rPr>
      </w:pPr>
      <w:r>
        <w:rPr>
          <w:rFonts w:hint="eastAsia" w:ascii="宋体" w:hAnsi="宋体" w:eastAsia="宋体" w:cs="宋体"/>
          <w:b/>
          <w:bCs/>
          <w:w w:val="80"/>
          <w:sz w:val="44"/>
          <w:szCs w:val="44"/>
        </w:rPr>
        <w:t>目 录</w:t>
      </w:r>
    </w:p>
    <w:p w14:paraId="01EC5C27">
      <w:pPr>
        <w:tabs>
          <w:tab w:val="left" w:pos="1050"/>
          <w:tab w:val="right" w:leader="dot" w:pos="9402"/>
        </w:tabs>
        <w:spacing w:line="480" w:lineRule="auto"/>
        <w:jc w:val="center"/>
        <w:rPr>
          <w:rFonts w:ascii="宋体" w:hAnsi="宋体" w:eastAsia="宋体" w:cs="宋体"/>
          <w:b/>
          <w:bCs/>
          <w:w w:val="80"/>
          <w:sz w:val="44"/>
          <w:szCs w:val="44"/>
        </w:rPr>
      </w:pPr>
    </w:p>
    <w:p w14:paraId="53B0A47C">
      <w:pPr>
        <w:tabs>
          <w:tab w:val="right" w:leader="dot" w:pos="9072"/>
        </w:tabs>
        <w:adjustRightInd w:val="0"/>
        <w:spacing w:line="1200" w:lineRule="exact"/>
        <w:ind w:right="-2"/>
        <w:jc w:val="left"/>
        <w:textAlignment w:val="baseline"/>
        <w:rPr>
          <w:rFonts w:ascii="宋体" w:hAnsi="宋体" w:eastAsia="宋体" w:cs="宋体"/>
          <w:w w:val="80"/>
          <w:sz w:val="32"/>
          <w:szCs w:val="32"/>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TOC \o "1-1"</w:instrText>
      </w:r>
      <w:r>
        <w:rPr>
          <w:rFonts w:hint="eastAsia" w:ascii="宋体" w:hAnsi="宋体" w:eastAsia="宋体" w:cs="宋体"/>
          <w:b/>
          <w:bCs/>
          <w:sz w:val="30"/>
          <w:szCs w:val="30"/>
        </w:rPr>
        <w:fldChar w:fldCharType="separate"/>
      </w:r>
      <w:r>
        <w:rPr>
          <w:rFonts w:hint="eastAsia" w:ascii="宋体" w:hAnsi="宋体" w:eastAsia="宋体" w:cs="宋体"/>
          <w:sz w:val="30"/>
          <w:szCs w:val="30"/>
        </w:rPr>
        <w:t>第一章 竞争性谈判公告</w:t>
      </w:r>
    </w:p>
    <w:p w14:paraId="1C8BF8FD">
      <w:pPr>
        <w:tabs>
          <w:tab w:val="right" w:leader="dot" w:pos="9072"/>
        </w:tabs>
        <w:adjustRightInd w:val="0"/>
        <w:spacing w:line="1200" w:lineRule="exact"/>
        <w:ind w:right="-2"/>
        <w:jc w:val="left"/>
        <w:textAlignment w:val="baseline"/>
        <w:rPr>
          <w:rFonts w:ascii="宋体" w:hAnsi="宋体" w:eastAsia="宋体" w:cs="宋体"/>
          <w:sz w:val="30"/>
          <w:szCs w:val="30"/>
        </w:rPr>
      </w:pPr>
      <w:r>
        <w:rPr>
          <w:rFonts w:hint="eastAsia" w:ascii="宋体" w:hAnsi="宋体" w:eastAsia="宋体" w:cs="宋体"/>
          <w:sz w:val="30"/>
          <w:szCs w:val="30"/>
        </w:rPr>
        <w:t>第二章 供应商须知</w:t>
      </w:r>
    </w:p>
    <w:p w14:paraId="4F2C5795">
      <w:pPr>
        <w:tabs>
          <w:tab w:val="right" w:leader="dot" w:pos="9072"/>
        </w:tabs>
        <w:adjustRightInd w:val="0"/>
        <w:spacing w:line="1200" w:lineRule="exact"/>
        <w:ind w:right="-2"/>
        <w:jc w:val="left"/>
        <w:textAlignment w:val="baseline"/>
        <w:rPr>
          <w:rFonts w:ascii="宋体" w:hAnsi="宋体" w:eastAsia="宋体" w:cs="宋体"/>
          <w:sz w:val="30"/>
          <w:szCs w:val="30"/>
        </w:rPr>
      </w:pPr>
      <w:r>
        <w:rPr>
          <w:rFonts w:hint="eastAsia" w:ascii="宋体" w:hAnsi="宋体" w:eastAsia="宋体" w:cs="宋体"/>
          <w:sz w:val="30"/>
          <w:szCs w:val="30"/>
        </w:rPr>
        <w:t>第三章 项目需求</w:t>
      </w:r>
    </w:p>
    <w:p w14:paraId="30719FEB">
      <w:pPr>
        <w:tabs>
          <w:tab w:val="right" w:leader="dot" w:pos="9072"/>
        </w:tabs>
        <w:adjustRightInd w:val="0"/>
        <w:spacing w:line="1200" w:lineRule="exact"/>
        <w:ind w:right="-2"/>
        <w:jc w:val="left"/>
        <w:textAlignment w:val="baseline"/>
        <w:rPr>
          <w:rFonts w:ascii="宋体" w:hAnsi="宋体" w:eastAsia="宋体" w:cs="宋体"/>
          <w:sz w:val="30"/>
          <w:szCs w:val="30"/>
        </w:rPr>
      </w:pPr>
      <w:r>
        <w:rPr>
          <w:rFonts w:hint="eastAsia" w:ascii="宋体" w:hAnsi="宋体" w:eastAsia="宋体" w:cs="宋体"/>
          <w:sz w:val="30"/>
          <w:szCs w:val="30"/>
        </w:rPr>
        <w:t>第四章 评审程序和方法</w:t>
      </w:r>
    </w:p>
    <w:p w14:paraId="6DF61EC3">
      <w:pPr>
        <w:tabs>
          <w:tab w:val="right" w:leader="dot" w:pos="9072"/>
        </w:tabs>
        <w:adjustRightInd w:val="0"/>
        <w:spacing w:line="1200" w:lineRule="exact"/>
        <w:ind w:right="-2"/>
        <w:jc w:val="left"/>
        <w:textAlignment w:val="baseline"/>
        <w:rPr>
          <w:rFonts w:eastAsia="宋体" w:cs="宋体"/>
          <w:sz w:val="30"/>
          <w:szCs w:val="30"/>
        </w:rPr>
      </w:pPr>
      <w:r>
        <w:rPr>
          <w:rFonts w:hint="eastAsia" w:ascii="宋体" w:hAnsi="宋体" w:eastAsia="宋体" w:cs="宋体"/>
          <w:sz w:val="30"/>
          <w:szCs w:val="30"/>
        </w:rPr>
        <w:t xml:space="preserve">第五章 </w:t>
      </w:r>
      <w:r>
        <w:rPr>
          <w:rFonts w:hint="eastAsia" w:eastAsia="宋体" w:cs="宋体"/>
          <w:sz w:val="30"/>
          <w:szCs w:val="30"/>
        </w:rPr>
        <w:t>合同主要条款</w:t>
      </w:r>
    </w:p>
    <w:p w14:paraId="22539529">
      <w:pPr>
        <w:tabs>
          <w:tab w:val="right" w:leader="dot" w:pos="9072"/>
        </w:tabs>
        <w:adjustRightInd w:val="0"/>
        <w:spacing w:line="1200" w:lineRule="exact"/>
        <w:ind w:right="-2"/>
        <w:jc w:val="left"/>
        <w:textAlignment w:val="baseline"/>
        <w:rPr>
          <w:rFonts w:ascii="宋体" w:hAnsi="宋体" w:eastAsia="宋体" w:cs="宋体"/>
          <w:sz w:val="30"/>
          <w:szCs w:val="30"/>
        </w:rPr>
      </w:pPr>
      <w:r>
        <w:rPr>
          <w:rFonts w:hint="eastAsia" w:ascii="宋体" w:hAnsi="宋体" w:eastAsia="宋体" w:cs="宋体"/>
          <w:sz w:val="30"/>
          <w:szCs w:val="30"/>
        </w:rPr>
        <w:t>第六章 质疑与投诉</w:t>
      </w:r>
    </w:p>
    <w:p w14:paraId="0B16213A">
      <w:pPr>
        <w:tabs>
          <w:tab w:val="right" w:leader="dot" w:pos="9072"/>
        </w:tabs>
        <w:adjustRightInd w:val="0"/>
        <w:spacing w:line="1200" w:lineRule="exact"/>
        <w:ind w:right="-2"/>
        <w:jc w:val="left"/>
        <w:textAlignment w:val="baseline"/>
        <w:rPr>
          <w:rFonts w:ascii="宋体" w:hAnsi="宋体" w:eastAsia="宋体" w:cs="宋体"/>
          <w:sz w:val="30"/>
          <w:szCs w:val="30"/>
        </w:rPr>
      </w:pPr>
      <w:r>
        <w:rPr>
          <w:rFonts w:hint="eastAsia" w:ascii="宋体" w:hAnsi="宋体" w:eastAsia="宋体" w:cs="宋体"/>
          <w:sz w:val="30"/>
          <w:szCs w:val="30"/>
        </w:rPr>
        <w:t>第七章 响应文件组成及格式</w:t>
      </w:r>
    </w:p>
    <w:p w14:paraId="487E089C">
      <w:pPr>
        <w:spacing w:line="420" w:lineRule="exact"/>
        <w:rPr>
          <w:rFonts w:ascii="宋体" w:hAnsi="宋体" w:eastAsia="宋体" w:cs="宋体"/>
          <w:kern w:val="0"/>
        </w:rPr>
      </w:pPr>
      <w:r>
        <w:rPr>
          <w:rFonts w:hint="eastAsia" w:ascii="宋体" w:hAnsi="宋体" w:eastAsia="宋体" w:cs="宋体"/>
          <w:b/>
          <w:bCs/>
          <w:sz w:val="30"/>
          <w:szCs w:val="30"/>
        </w:rPr>
        <w:fldChar w:fldCharType="end"/>
      </w:r>
    </w:p>
    <w:p w14:paraId="449108FE">
      <w:pPr>
        <w:spacing w:line="420" w:lineRule="exact"/>
        <w:rPr>
          <w:rFonts w:ascii="宋体" w:hAnsi="宋体" w:eastAsia="宋体" w:cs="宋体"/>
          <w:kern w:val="0"/>
        </w:rPr>
      </w:pPr>
    </w:p>
    <w:p w14:paraId="2EA3B89D">
      <w:pPr>
        <w:spacing w:line="420" w:lineRule="exact"/>
        <w:rPr>
          <w:rFonts w:ascii="宋体" w:hAnsi="宋体" w:eastAsia="宋体" w:cs="宋体"/>
          <w:kern w:val="0"/>
        </w:rPr>
      </w:pPr>
    </w:p>
    <w:p w14:paraId="230079E2">
      <w:pPr>
        <w:spacing w:line="420" w:lineRule="exact"/>
        <w:rPr>
          <w:rFonts w:ascii="宋体" w:hAnsi="宋体" w:eastAsia="宋体" w:cs="宋体"/>
          <w:kern w:val="0"/>
        </w:rPr>
      </w:pPr>
    </w:p>
    <w:p w14:paraId="066477E7">
      <w:pPr>
        <w:spacing w:line="420" w:lineRule="exact"/>
        <w:rPr>
          <w:rFonts w:ascii="宋体" w:hAnsi="宋体" w:eastAsia="宋体" w:cs="宋体"/>
          <w:kern w:val="0"/>
        </w:rPr>
      </w:pPr>
    </w:p>
    <w:p w14:paraId="4868F771">
      <w:pPr>
        <w:spacing w:line="420" w:lineRule="exact"/>
        <w:rPr>
          <w:rFonts w:ascii="宋体" w:hAnsi="宋体" w:eastAsia="宋体" w:cs="宋体"/>
          <w:kern w:val="0"/>
        </w:rPr>
      </w:pPr>
    </w:p>
    <w:p w14:paraId="57274F6A">
      <w:pPr>
        <w:snapToGrid w:val="0"/>
        <w:spacing w:line="360" w:lineRule="exact"/>
        <w:rPr>
          <w:rFonts w:ascii="宋体" w:hAnsi="宋体" w:eastAsia="宋体" w:cs="宋体"/>
          <w:b/>
          <w:bCs/>
        </w:rPr>
      </w:pPr>
    </w:p>
    <w:p w14:paraId="6FC15DFD">
      <w:pPr>
        <w:pStyle w:val="2"/>
        <w:ind w:left="480" w:firstLine="480"/>
        <w:sectPr>
          <w:pgSz w:w="11906" w:h="16838"/>
          <w:pgMar w:top="1418" w:right="1133" w:bottom="1135" w:left="1418" w:header="851" w:footer="471" w:gutter="0"/>
          <w:cols w:space="425" w:num="1"/>
          <w:titlePg/>
          <w:docGrid w:type="lines" w:linePitch="326" w:charSpace="0"/>
        </w:sectPr>
      </w:pPr>
    </w:p>
    <w:p w14:paraId="1CBB3760">
      <w:pPr>
        <w:tabs>
          <w:tab w:val="left" w:pos="1050"/>
          <w:tab w:val="right" w:leader="dot" w:pos="9402"/>
        </w:tabs>
        <w:spacing w:beforeLines="100" w:line="600" w:lineRule="exact"/>
        <w:jc w:val="center"/>
        <w:outlineLvl w:val="0"/>
        <w:rPr>
          <w:rFonts w:ascii="宋体" w:hAnsi="宋体" w:eastAsia="宋体" w:cs="宋体"/>
          <w:b/>
          <w:bCs/>
          <w:w w:val="80"/>
          <w:sz w:val="36"/>
          <w:szCs w:val="36"/>
        </w:rPr>
      </w:pPr>
      <w:r>
        <w:rPr>
          <w:rFonts w:hint="eastAsia" w:ascii="宋体" w:hAnsi="宋体" w:eastAsia="宋体" w:cs="宋体"/>
          <w:b/>
          <w:bCs/>
          <w:w w:val="80"/>
          <w:sz w:val="36"/>
          <w:szCs w:val="36"/>
        </w:rPr>
        <w:t>江苏大生集团信息化系统改造项目竞争性谈判公告</w:t>
      </w:r>
    </w:p>
    <w:p w14:paraId="176D16CC">
      <w:pPr>
        <w:snapToGrid w:val="0"/>
        <w:spacing w:line="360" w:lineRule="auto"/>
        <w:ind w:left="-2" w:leftChars="-1" w:firstLine="431"/>
        <w:rPr>
          <w:rFonts w:ascii="宋体" w:hAnsi="宋体" w:eastAsia="宋体" w:cs="宋体"/>
          <w:color w:val="000000" w:themeColor="text1"/>
          <w14:textFill>
            <w14:solidFill>
              <w14:schemeClr w14:val="tx1"/>
            </w14:solidFill>
          </w14:textFill>
        </w:rPr>
      </w:pPr>
    </w:p>
    <w:p w14:paraId="6C261BC7">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我单位“江苏大生集团信息化系统改造项目”已经启动采购程序，现采用竞争性谈判方式择优选择供应商，项目情况如下：</w:t>
      </w:r>
    </w:p>
    <w:p w14:paraId="28B7B82C">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一、项目基本情况</w:t>
      </w:r>
    </w:p>
    <w:p w14:paraId="35367A42">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项目编号：JSKJ2026019（JT001）</w:t>
      </w:r>
    </w:p>
    <w:p w14:paraId="6544FC93">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项目名称：江苏大生集团信息化系统改造项目</w:t>
      </w:r>
    </w:p>
    <w:p w14:paraId="234C760E">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预算金额：</w:t>
      </w:r>
      <w:r>
        <w:rPr>
          <w:rFonts w:hint="eastAsia" w:ascii="宋体" w:hAnsi="宋体" w:eastAsia="宋体" w:cs="宋体"/>
          <w:color w:val="000000" w:themeColor="text1"/>
          <w:lang w:val="en-US" w:eastAsia="zh-CN"/>
          <w14:textFill>
            <w14:solidFill>
              <w14:schemeClr w14:val="tx1"/>
            </w14:solidFill>
          </w14:textFill>
        </w:rPr>
        <w:t>68</w:t>
      </w:r>
      <w:r>
        <w:rPr>
          <w:rFonts w:hint="eastAsia" w:ascii="宋体" w:hAnsi="宋体" w:eastAsia="宋体" w:cs="宋体"/>
          <w:color w:val="000000" w:themeColor="text1"/>
          <w14:textFill>
            <w14:solidFill>
              <w14:schemeClr w14:val="tx1"/>
            </w14:solidFill>
          </w14:textFill>
        </w:rPr>
        <w:t>万元</w:t>
      </w:r>
    </w:p>
    <w:p w14:paraId="3AFB2722">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最高限价：</w:t>
      </w:r>
      <w:r>
        <w:rPr>
          <w:rFonts w:hint="eastAsia" w:ascii="宋体" w:hAnsi="宋体" w:eastAsia="宋体" w:cs="宋体"/>
          <w:color w:val="000000" w:themeColor="text1"/>
          <w:lang w:val="en-US" w:eastAsia="zh-CN"/>
          <w14:textFill>
            <w14:solidFill>
              <w14:schemeClr w14:val="tx1"/>
            </w14:solidFill>
          </w14:textFill>
        </w:rPr>
        <w:t>68</w:t>
      </w:r>
      <w:r>
        <w:rPr>
          <w:rFonts w:hint="eastAsia" w:ascii="宋体" w:hAnsi="宋体" w:eastAsia="宋体" w:cs="宋体"/>
          <w:color w:val="000000" w:themeColor="text1"/>
          <w14:textFill>
            <w14:solidFill>
              <w14:schemeClr w14:val="tx1"/>
            </w14:solidFill>
          </w14:textFill>
        </w:rPr>
        <w:t>万元，供应商所报价格不得高于最高限价，否则作无效响应处理</w:t>
      </w:r>
    </w:p>
    <w:p w14:paraId="3E317BDB">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采购需求：详见第三章</w:t>
      </w:r>
    </w:p>
    <w:p w14:paraId="3F2D8B35">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合同履行期限：本项目建设实施服务期限为1年，在项目验收后提供3年的免费运维</w:t>
      </w:r>
    </w:p>
    <w:p w14:paraId="58DBF1F0">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本项目不接受联合体谈判。</w:t>
      </w:r>
    </w:p>
    <w:p w14:paraId="1AF3E8A2">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二、响应人的资格要求</w:t>
      </w:r>
    </w:p>
    <w:p w14:paraId="12279886">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供应商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DBAB924">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本项目的特定资格要求：无。</w:t>
      </w:r>
    </w:p>
    <w:p w14:paraId="0F434EE1">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三、获取</w:t>
      </w:r>
      <w:r>
        <w:rPr>
          <w:rFonts w:hint="eastAsia" w:ascii="宋体" w:hAnsi="宋体" w:eastAsia="宋体" w:cs="宋体"/>
          <w:b/>
          <w:color w:val="000000" w:themeColor="text1"/>
          <w14:textFill>
            <w14:solidFill>
              <w14:schemeClr w14:val="tx1"/>
            </w14:solidFill>
          </w14:textFill>
        </w:rPr>
        <w:t>采购</w:t>
      </w:r>
      <w:r>
        <w:rPr>
          <w:rFonts w:ascii="宋体" w:hAnsi="宋体" w:eastAsia="宋体" w:cs="宋体"/>
          <w:b/>
          <w:color w:val="000000" w:themeColor="text1"/>
          <w14:textFill>
            <w14:solidFill>
              <w14:schemeClr w14:val="tx1"/>
            </w14:solidFill>
          </w14:textFill>
        </w:rPr>
        <w:t>文件</w:t>
      </w:r>
    </w:p>
    <w:p w14:paraId="3C36E032">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时间：</w:t>
      </w:r>
      <w:r>
        <w:rPr>
          <w:rFonts w:hint="eastAsia" w:ascii="宋体" w:hAnsi="宋体" w:eastAsia="宋体" w:cs="宋体"/>
          <w:color w:val="000000" w:themeColor="text1"/>
          <w14:textFill>
            <w14:solidFill>
              <w14:schemeClr w14:val="tx1"/>
            </w14:solidFill>
          </w14:textFill>
        </w:rPr>
        <w:t>自公告发布之日起</w:t>
      </w:r>
      <w:r>
        <w:rPr>
          <w:rFonts w:ascii="宋体" w:hAnsi="宋体" w:eastAsia="宋体" w:cs="宋体"/>
          <w:color w:val="000000" w:themeColor="text1"/>
          <w14:textFill>
            <w14:solidFill>
              <w14:schemeClr w14:val="tx1"/>
            </w14:solidFill>
          </w14:textFill>
        </w:rPr>
        <w:t>至</w:t>
      </w:r>
      <w:r>
        <w:rPr>
          <w:rFonts w:hint="eastAsia" w:ascii="宋体" w:hAnsi="宋体" w:eastAsia="宋体" w:cs="宋体"/>
          <w:color w:val="000000" w:themeColor="text1"/>
          <w14:textFill>
            <w14:solidFill>
              <w14:schemeClr w14:val="tx1"/>
            </w14:solidFill>
          </w14:textFill>
        </w:rPr>
        <w:t>2026</w:t>
      </w:r>
      <w:r>
        <w:rPr>
          <w:rFonts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14:textFill>
            <w14:solidFill>
              <w14:schemeClr w14:val="tx1"/>
            </w14:solidFill>
          </w14:textFill>
        </w:rPr>
        <w:t>11</w:t>
      </w:r>
      <w:r>
        <w:rPr>
          <w:rFonts w:ascii="宋体" w:hAnsi="宋体" w:eastAsia="宋体" w:cs="宋体"/>
          <w:color w:val="000000" w:themeColor="text1"/>
          <w14:textFill>
            <w14:solidFill>
              <w14:schemeClr w14:val="tx1"/>
            </w14:solidFill>
          </w14:textFill>
        </w:rPr>
        <w:t>日</w:t>
      </w:r>
    </w:p>
    <w:p w14:paraId="1C0DA93D">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地点：江苏大生集团有限公司官网</w:t>
      </w:r>
    </w:p>
    <w:p w14:paraId="240E725E">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方式：自行下载</w:t>
      </w:r>
    </w:p>
    <w:p w14:paraId="203D3666">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四、</w:t>
      </w:r>
      <w:r>
        <w:rPr>
          <w:rFonts w:hint="eastAsia" w:ascii="宋体" w:hAnsi="宋体" w:eastAsia="宋体" w:cs="宋体"/>
          <w:b/>
          <w:color w:val="000000" w:themeColor="text1"/>
          <w14:textFill>
            <w14:solidFill>
              <w14:schemeClr w14:val="tx1"/>
            </w14:solidFill>
          </w14:textFill>
        </w:rPr>
        <w:t>响应</w:t>
      </w:r>
      <w:r>
        <w:rPr>
          <w:rFonts w:ascii="宋体" w:hAnsi="宋体" w:eastAsia="宋体" w:cs="宋体"/>
          <w:b/>
          <w:color w:val="000000" w:themeColor="text1"/>
          <w14:textFill>
            <w14:solidFill>
              <w14:schemeClr w14:val="tx1"/>
            </w14:solidFill>
          </w14:textFill>
        </w:rPr>
        <w:t>文件</w:t>
      </w:r>
      <w:r>
        <w:rPr>
          <w:rFonts w:hint="eastAsia" w:ascii="宋体" w:hAnsi="宋体" w:eastAsia="宋体" w:cs="宋体"/>
          <w:b/>
          <w:color w:val="000000" w:themeColor="text1"/>
          <w14:textFill>
            <w14:solidFill>
              <w14:schemeClr w14:val="tx1"/>
            </w14:solidFill>
          </w14:textFill>
        </w:rPr>
        <w:t>提交</w:t>
      </w:r>
    </w:p>
    <w:p w14:paraId="1ACFCC6A">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截止时间：2026</w:t>
      </w:r>
      <w:r>
        <w:rPr>
          <w:rFonts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14:textFill>
            <w14:solidFill>
              <w14:schemeClr w14:val="tx1"/>
            </w14:solidFill>
          </w14:textFill>
        </w:rPr>
        <w:t>11</w:t>
      </w:r>
      <w:r>
        <w:rPr>
          <w:rFonts w:ascii="宋体" w:hAnsi="宋体" w:eastAsia="宋体" w:cs="宋体"/>
          <w:color w:val="000000" w:themeColor="text1"/>
          <w14:textFill>
            <w14:solidFill>
              <w14:schemeClr w14:val="tx1"/>
            </w14:solidFill>
          </w14:textFill>
        </w:rPr>
        <w:t>日</w:t>
      </w:r>
      <w:r>
        <w:rPr>
          <w:rFonts w:hint="eastAsia" w:ascii="宋体" w:hAnsi="宋体" w:eastAsia="宋体" w:cs="宋体"/>
          <w:color w:val="000000" w:themeColor="text1"/>
          <w14:textFill>
            <w14:solidFill>
              <w14:schemeClr w14:val="tx1"/>
            </w14:solidFill>
          </w14:textFill>
        </w:rPr>
        <w:t>9</w:t>
      </w:r>
      <w:r>
        <w:rPr>
          <w:rFonts w:ascii="宋体" w:hAnsi="宋体" w:eastAsia="宋体" w:cs="宋体"/>
          <w:color w:val="000000" w:themeColor="text1"/>
          <w14:textFill>
            <w14:solidFill>
              <w14:schemeClr w14:val="tx1"/>
            </w14:solidFill>
          </w14:textFill>
        </w:rPr>
        <w:t>点</w:t>
      </w:r>
      <w:r>
        <w:rPr>
          <w:rFonts w:hint="eastAsia" w:ascii="宋体" w:hAnsi="宋体" w:eastAsia="宋体" w:cs="宋体"/>
          <w:color w:val="000000" w:themeColor="text1"/>
          <w14:textFill>
            <w14:solidFill>
              <w14:schemeClr w14:val="tx1"/>
            </w14:solidFill>
          </w14:textFill>
        </w:rPr>
        <w:t>30</w:t>
      </w:r>
      <w:r>
        <w:rPr>
          <w:rFonts w:ascii="宋体" w:hAnsi="宋体" w:eastAsia="宋体" w:cs="宋体"/>
          <w:color w:val="000000" w:themeColor="text1"/>
          <w14:textFill>
            <w14:solidFill>
              <w14:schemeClr w14:val="tx1"/>
            </w14:solidFill>
          </w14:textFill>
        </w:rPr>
        <w:t>分</w:t>
      </w:r>
      <w:r>
        <w:rPr>
          <w:rFonts w:hint="eastAsia" w:ascii="宋体" w:hAnsi="宋体" w:eastAsia="宋体" w:cs="宋体"/>
          <w:color w:val="000000" w:themeColor="text1"/>
          <w14:textFill>
            <w14:solidFill>
              <w14:schemeClr w14:val="tx1"/>
            </w14:solidFill>
          </w14:textFill>
        </w:rPr>
        <w:t>00秒</w:t>
      </w:r>
      <w:r>
        <w:rPr>
          <w:rFonts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逾时拒绝接收</w:t>
      </w:r>
      <w:r>
        <w:rPr>
          <w:rFonts w:hint="eastAsia" w:ascii="宋体" w:hAnsi="宋体" w:eastAsia="宋体" w:cs="宋体"/>
          <w:color w:val="000000" w:themeColor="text1"/>
          <w14:textFill>
            <w14:solidFill>
              <w14:schemeClr w14:val="tx1"/>
            </w14:solidFill>
          </w14:textFill>
        </w:rPr>
        <w:t>谈判</w:t>
      </w:r>
      <w:r>
        <w:rPr>
          <w:rFonts w:ascii="宋体" w:hAnsi="宋体" w:eastAsia="宋体" w:cs="宋体"/>
          <w:color w:val="000000" w:themeColor="text1"/>
          <w14:textFill>
            <w14:solidFill>
              <w14:schemeClr w14:val="tx1"/>
            </w14:solidFill>
          </w14:textFill>
        </w:rPr>
        <w:t>响应文件</w:t>
      </w:r>
      <w:r>
        <w:rPr>
          <w:rFonts w:hint="eastAsia" w:ascii="宋体" w:hAnsi="宋体" w:eastAsia="宋体" w:cs="宋体"/>
          <w:color w:val="000000" w:themeColor="text1"/>
          <w14:textFill>
            <w14:solidFill>
              <w14:schemeClr w14:val="tx1"/>
            </w14:solidFill>
          </w14:textFill>
        </w:rPr>
        <w:t>。</w:t>
      </w:r>
    </w:p>
    <w:p w14:paraId="050CA7F0">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地点：</w:t>
      </w:r>
      <w:r>
        <w:rPr>
          <w:rFonts w:hint="eastAsia" w:ascii="宋体" w:hAnsi="宋体" w:eastAsia="宋体" w:cs="宋体"/>
          <w:color w:val="000000" w:themeColor="text1"/>
          <w14:textFill>
            <w14:solidFill>
              <w14:schemeClr w14:val="tx1"/>
            </w14:solidFill>
          </w14:textFill>
        </w:rPr>
        <w:t>江苏省南通市崇川区大生路1号大生集团办公楼310会议室</w:t>
      </w:r>
      <w:r>
        <w:rPr>
          <w:rFonts w:ascii="宋体" w:hAnsi="宋体" w:eastAsia="宋体" w:cs="宋体"/>
          <w:color w:val="000000" w:themeColor="text1"/>
          <w14:textFill>
            <w14:solidFill>
              <w14:schemeClr w14:val="tx1"/>
            </w14:solidFill>
          </w14:textFill>
        </w:rPr>
        <w:t>，如有变动另行通知。</w:t>
      </w:r>
    </w:p>
    <w:p w14:paraId="379458CD">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五、开启</w:t>
      </w:r>
    </w:p>
    <w:p w14:paraId="33764C0E">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时间：2026</w:t>
      </w:r>
      <w:r>
        <w:rPr>
          <w:rFonts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14:textFill>
            <w14:solidFill>
              <w14:schemeClr w14:val="tx1"/>
            </w14:solidFill>
          </w14:textFill>
        </w:rPr>
        <w:t>11</w:t>
      </w:r>
      <w:r>
        <w:rPr>
          <w:rFonts w:ascii="宋体" w:hAnsi="宋体" w:eastAsia="宋体" w:cs="宋体"/>
          <w:color w:val="000000" w:themeColor="text1"/>
          <w14:textFill>
            <w14:solidFill>
              <w14:schemeClr w14:val="tx1"/>
            </w14:solidFill>
          </w14:textFill>
        </w:rPr>
        <w:t>日</w:t>
      </w:r>
      <w:r>
        <w:rPr>
          <w:rFonts w:hint="eastAsia" w:ascii="宋体" w:hAnsi="宋体" w:eastAsia="宋体" w:cs="宋体"/>
          <w:color w:val="000000" w:themeColor="text1"/>
          <w14:textFill>
            <w14:solidFill>
              <w14:schemeClr w14:val="tx1"/>
            </w14:solidFill>
          </w14:textFill>
        </w:rPr>
        <w:t>9</w:t>
      </w:r>
      <w:r>
        <w:rPr>
          <w:rFonts w:ascii="宋体" w:hAnsi="宋体" w:eastAsia="宋体" w:cs="宋体"/>
          <w:color w:val="000000" w:themeColor="text1"/>
          <w14:textFill>
            <w14:solidFill>
              <w14:schemeClr w14:val="tx1"/>
            </w14:solidFill>
          </w14:textFill>
        </w:rPr>
        <w:t>点</w:t>
      </w:r>
      <w:r>
        <w:rPr>
          <w:rFonts w:hint="eastAsia" w:ascii="宋体" w:hAnsi="宋体" w:eastAsia="宋体" w:cs="宋体"/>
          <w:color w:val="000000" w:themeColor="text1"/>
          <w14:textFill>
            <w14:solidFill>
              <w14:schemeClr w14:val="tx1"/>
            </w14:solidFill>
          </w14:textFill>
        </w:rPr>
        <w:t>30</w:t>
      </w:r>
      <w:r>
        <w:rPr>
          <w:rFonts w:ascii="宋体" w:hAnsi="宋体" w:eastAsia="宋体" w:cs="宋体"/>
          <w:color w:val="000000" w:themeColor="text1"/>
          <w14:textFill>
            <w14:solidFill>
              <w14:schemeClr w14:val="tx1"/>
            </w14:solidFill>
          </w14:textFill>
        </w:rPr>
        <w:t>分</w:t>
      </w:r>
      <w:r>
        <w:rPr>
          <w:rFonts w:hint="eastAsia" w:ascii="宋体" w:hAnsi="宋体" w:eastAsia="宋体" w:cs="宋体"/>
          <w:color w:val="000000" w:themeColor="text1"/>
          <w14:textFill>
            <w14:solidFill>
              <w14:schemeClr w14:val="tx1"/>
            </w14:solidFill>
          </w14:textFill>
        </w:rPr>
        <w:t>00秒</w:t>
      </w:r>
      <w:r>
        <w:rPr>
          <w:rFonts w:ascii="宋体" w:hAnsi="宋体" w:eastAsia="宋体" w:cs="宋体"/>
          <w:color w:val="000000" w:themeColor="text1"/>
          <w14:textFill>
            <w14:solidFill>
              <w14:schemeClr w14:val="tx1"/>
            </w14:solidFill>
          </w14:textFill>
        </w:rPr>
        <w:t>（北京时间）</w:t>
      </w:r>
    </w:p>
    <w:p w14:paraId="6A27FB71">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地点：江苏省南通市崇川区大生路1号大生集团办公楼310会议室</w:t>
      </w:r>
      <w:r>
        <w:rPr>
          <w:rFonts w:ascii="宋体" w:hAnsi="宋体" w:eastAsia="宋体" w:cs="宋体"/>
          <w:color w:val="000000" w:themeColor="text1"/>
          <w14:textFill>
            <w14:solidFill>
              <w14:schemeClr w14:val="tx1"/>
            </w14:solidFill>
          </w14:textFill>
        </w:rPr>
        <w:t>，如有变动另行通知。</w:t>
      </w:r>
    </w:p>
    <w:p w14:paraId="0EF4C353">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六</w:t>
      </w:r>
      <w:r>
        <w:rPr>
          <w:rFonts w:ascii="宋体" w:hAnsi="宋体" w:eastAsia="宋体" w:cs="宋体"/>
          <w:b/>
          <w:color w:val="000000" w:themeColor="text1"/>
          <w14:textFill>
            <w14:solidFill>
              <w14:schemeClr w14:val="tx1"/>
            </w14:solidFill>
          </w14:textFill>
        </w:rPr>
        <w:t>、公告期限</w:t>
      </w:r>
    </w:p>
    <w:p w14:paraId="7AE615B6">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自本公告发布之日起</w:t>
      </w:r>
      <w:r>
        <w:rPr>
          <w:rFonts w:hint="eastAsia" w:ascii="宋体" w:hAnsi="宋体" w:eastAsia="宋体" w:cs="宋体"/>
          <w:color w:val="000000" w:themeColor="text1"/>
          <w:lang w:val="en-US" w:eastAsia="zh-CN"/>
          <w14:textFill>
            <w14:solidFill>
              <w14:schemeClr w14:val="tx1"/>
            </w14:solidFill>
          </w14:textFill>
        </w:rPr>
        <w:t>5</w:t>
      </w:r>
      <w:r>
        <w:rPr>
          <w:rFonts w:ascii="宋体" w:hAnsi="宋体" w:eastAsia="宋体" w:cs="宋体"/>
          <w:color w:val="000000" w:themeColor="text1"/>
          <w14:textFill>
            <w14:solidFill>
              <w14:schemeClr w14:val="tx1"/>
            </w14:solidFill>
          </w14:textFill>
        </w:rPr>
        <w:t>个工作日。</w:t>
      </w:r>
    </w:p>
    <w:p w14:paraId="4F2D7035">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七</w:t>
      </w:r>
      <w:r>
        <w:rPr>
          <w:rFonts w:ascii="宋体" w:hAnsi="宋体" w:eastAsia="宋体" w:cs="宋体"/>
          <w:b/>
          <w:color w:val="000000" w:themeColor="text1"/>
          <w14:textFill>
            <w14:solidFill>
              <w14:schemeClr w14:val="tx1"/>
            </w14:solidFill>
          </w14:textFill>
        </w:rPr>
        <w:t>、其他补充事宜</w:t>
      </w:r>
    </w:p>
    <w:p w14:paraId="75B45A45">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.投标</w:t>
      </w:r>
      <w:r>
        <w:rPr>
          <w:rFonts w:ascii="宋体" w:hAnsi="宋体" w:eastAsia="宋体" w:cs="宋体"/>
          <w:color w:val="000000" w:themeColor="text1"/>
          <w14:textFill>
            <w14:solidFill>
              <w14:schemeClr w14:val="tx1"/>
            </w14:solidFill>
          </w14:textFill>
        </w:rPr>
        <w:t>保证金：免收</w:t>
      </w:r>
    </w:p>
    <w:p w14:paraId="57B71751">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谈判</w:t>
      </w:r>
      <w:r>
        <w:rPr>
          <w:rFonts w:ascii="宋体" w:hAnsi="宋体" w:eastAsia="宋体" w:cs="宋体"/>
          <w:color w:val="000000" w:themeColor="text1"/>
          <w14:textFill>
            <w14:solidFill>
              <w14:schemeClr w14:val="tx1"/>
            </w14:solidFill>
          </w14:textFill>
        </w:rPr>
        <w:t>活动模式：现场模式</w:t>
      </w:r>
    </w:p>
    <w:p w14:paraId="5376FE66">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项目演示、样品、答辩等：无</w:t>
      </w:r>
    </w:p>
    <w:p w14:paraId="410AE705">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对项目需求部分（供应商其他资格要求、项目需求、评分标准）的询问、质疑请向采购人提出，由采购人负责答复；对项目</w:t>
      </w:r>
      <w:r>
        <w:rPr>
          <w:rFonts w:hint="eastAsia" w:ascii="宋体" w:hAnsi="宋体" w:eastAsia="宋体" w:cs="宋体"/>
          <w:color w:val="000000" w:themeColor="text1"/>
          <w14:textFill>
            <w14:solidFill>
              <w14:schemeClr w14:val="tx1"/>
            </w14:solidFill>
          </w14:textFill>
        </w:rPr>
        <w:t>采购</w:t>
      </w:r>
      <w:r>
        <w:rPr>
          <w:rFonts w:ascii="宋体" w:hAnsi="宋体" w:eastAsia="宋体" w:cs="宋体"/>
          <w:color w:val="000000" w:themeColor="text1"/>
          <w14:textFill>
            <w14:solidFill>
              <w14:schemeClr w14:val="tx1"/>
            </w14:solidFill>
          </w14:textFill>
        </w:rPr>
        <w:t>文件其它部分的询问请向</w:t>
      </w:r>
      <w:r>
        <w:rPr>
          <w:rFonts w:hint="eastAsia" w:ascii="宋体" w:hAnsi="宋体" w:eastAsia="宋体" w:cs="宋体"/>
          <w:color w:val="000000" w:themeColor="text1"/>
          <w14:textFill>
            <w14:solidFill>
              <w14:schemeClr w14:val="tx1"/>
            </w14:solidFill>
          </w14:textFill>
        </w:rPr>
        <w:t>采购</w:t>
      </w:r>
      <w:r>
        <w:rPr>
          <w:rFonts w:ascii="宋体" w:hAnsi="宋体" w:eastAsia="宋体" w:cs="宋体"/>
          <w:color w:val="000000" w:themeColor="text1"/>
          <w14:textFill>
            <w14:solidFill>
              <w14:schemeClr w14:val="tx1"/>
            </w14:solidFill>
          </w14:textFill>
        </w:rPr>
        <w:t>人或项目</w:t>
      </w:r>
      <w:r>
        <w:rPr>
          <w:rFonts w:hint="eastAsia" w:ascii="宋体" w:hAnsi="宋体" w:eastAsia="宋体" w:cs="宋体"/>
          <w:color w:val="000000" w:themeColor="text1"/>
          <w14:textFill>
            <w14:solidFill>
              <w14:schemeClr w14:val="tx1"/>
            </w14:solidFill>
          </w14:textFill>
        </w:rPr>
        <w:t>联系</w:t>
      </w:r>
      <w:r>
        <w:rPr>
          <w:rFonts w:ascii="宋体" w:hAnsi="宋体" w:eastAsia="宋体" w:cs="宋体"/>
          <w:color w:val="000000" w:themeColor="text1"/>
          <w14:textFill>
            <w14:solidFill>
              <w14:schemeClr w14:val="tx1"/>
            </w14:solidFill>
          </w14:textFill>
        </w:rPr>
        <w:t>人提出。</w:t>
      </w:r>
    </w:p>
    <w:p w14:paraId="70682D59">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r>
        <w:rPr>
          <w:rFonts w:ascii="宋体" w:hAnsi="宋体" w:eastAsia="宋体" w:cs="宋体"/>
          <w:color w:val="000000" w:themeColor="text1"/>
          <w14:textFill>
            <w14:solidFill>
              <w14:schemeClr w14:val="tx1"/>
            </w14:solidFill>
          </w14:textFill>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F5FFD38">
      <w:pPr>
        <w:snapToGrid w:val="0"/>
        <w:spacing w:line="360" w:lineRule="auto"/>
        <w:ind w:left="-2" w:leftChars="-1" w:firstLine="431"/>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八</w:t>
      </w:r>
      <w:r>
        <w:rPr>
          <w:rFonts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凡</w:t>
      </w:r>
      <w:r>
        <w:rPr>
          <w:rFonts w:ascii="宋体" w:hAnsi="宋体" w:eastAsia="宋体" w:cs="宋体"/>
          <w:b/>
          <w:color w:val="000000" w:themeColor="text1"/>
          <w14:textFill>
            <w14:solidFill>
              <w14:schemeClr w14:val="tx1"/>
            </w14:solidFill>
          </w14:textFill>
        </w:rPr>
        <w:t>对本次</w:t>
      </w:r>
      <w:r>
        <w:rPr>
          <w:rFonts w:hint="eastAsia" w:ascii="宋体" w:hAnsi="宋体" w:eastAsia="宋体" w:cs="宋体"/>
          <w:b/>
          <w:color w:val="000000" w:themeColor="text1"/>
          <w14:textFill>
            <w14:solidFill>
              <w14:schemeClr w14:val="tx1"/>
            </w14:solidFill>
          </w14:textFill>
        </w:rPr>
        <w:t>采购</w:t>
      </w:r>
      <w:r>
        <w:rPr>
          <w:rFonts w:ascii="宋体" w:hAnsi="宋体" w:eastAsia="宋体" w:cs="宋体"/>
          <w:b/>
          <w:color w:val="000000" w:themeColor="text1"/>
          <w14:textFill>
            <w14:solidFill>
              <w14:schemeClr w14:val="tx1"/>
            </w14:solidFill>
          </w14:textFill>
        </w:rPr>
        <w:t>提出询问，请按以下方式联系</w:t>
      </w:r>
    </w:p>
    <w:p w14:paraId="503AAB95">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采购人信息</w:t>
      </w:r>
    </w:p>
    <w:p w14:paraId="04C7E394">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名称：江苏大生集团有限公司</w:t>
      </w:r>
    </w:p>
    <w:p w14:paraId="04220C55">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地址：江苏省南通市崇川区大生路1号</w:t>
      </w:r>
    </w:p>
    <w:p w14:paraId="1A134ABD">
      <w:pPr>
        <w:snapToGrid w:val="0"/>
        <w:spacing w:line="360" w:lineRule="auto"/>
        <w:ind w:left="-2" w:leftChars="-1" w:firstLine="431"/>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联系方式：</w:t>
      </w:r>
      <w:r>
        <w:rPr>
          <w:rFonts w:hint="eastAsia" w:ascii="宋体" w:hAnsi="宋体" w:eastAsia="宋体" w:cs="宋体"/>
          <w:color w:val="000000" w:themeColor="text1"/>
          <w:lang w:val="en-US" w:eastAsia="zh-CN"/>
          <w14:textFill>
            <w14:solidFill>
              <w14:schemeClr w14:val="tx1"/>
            </w14:solidFill>
          </w14:textFill>
        </w:rPr>
        <w:t>石文棋</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13275227585</w:t>
      </w:r>
    </w:p>
    <w:p w14:paraId="64B1F44D">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2.采购代理机构信息</w:t>
      </w:r>
    </w:p>
    <w:p w14:paraId="6D886808">
      <w:pPr>
        <w:snapToGrid w:val="0"/>
        <w:spacing w:line="360" w:lineRule="auto"/>
        <w:ind w:left="-2" w:leftChars="-1" w:firstLine="431"/>
        <w:rPr>
          <w:rFonts w:ascii="宋体" w:hAnsi="宋体" w:eastAsia="宋体" w:cs="宋体"/>
          <w:color w:val="000000"/>
        </w:rPr>
      </w:pPr>
      <w:r>
        <w:rPr>
          <w:rFonts w:hint="eastAsia" w:ascii="宋体" w:hAnsi="宋体" w:eastAsia="宋体" w:cs="宋体"/>
          <w:color w:val="000000" w:themeColor="text1"/>
          <w14:textFill>
            <w14:solidFill>
              <w14:schemeClr w14:val="tx1"/>
            </w14:solidFill>
          </w14:textFill>
        </w:rPr>
        <w:t>名称：江苏科建工程项目管理</w:t>
      </w:r>
      <w:r>
        <w:rPr>
          <w:rFonts w:hint="eastAsia" w:ascii="宋体" w:hAnsi="宋体" w:eastAsia="宋体" w:cs="宋体"/>
          <w:color w:val="000000"/>
        </w:rPr>
        <w:t>有限公司</w:t>
      </w:r>
    </w:p>
    <w:p w14:paraId="59869927">
      <w:pPr>
        <w:snapToGrid w:val="0"/>
        <w:spacing w:line="360" w:lineRule="auto"/>
        <w:ind w:left="-2" w:leftChars="-1" w:firstLine="431"/>
        <w:rPr>
          <w:rFonts w:ascii="宋体" w:hAnsi="宋体" w:eastAsia="宋体" w:cs="宋体"/>
          <w:color w:val="000000"/>
        </w:rPr>
      </w:pPr>
      <w:r>
        <w:rPr>
          <w:rFonts w:hint="eastAsia" w:ascii="宋体" w:hAnsi="宋体" w:eastAsia="宋体" w:cs="宋体"/>
          <w:color w:val="000000"/>
        </w:rPr>
        <w:t>地址：南通市北朱家园路28号佳成大厦三楼</w:t>
      </w:r>
    </w:p>
    <w:p w14:paraId="453E2216">
      <w:pPr>
        <w:snapToGrid w:val="0"/>
        <w:spacing w:line="360" w:lineRule="auto"/>
        <w:ind w:left="-2" w:leftChars="-1" w:firstLine="431"/>
        <w:rPr>
          <w:rFonts w:ascii="宋体" w:hAnsi="宋体" w:eastAsia="宋体" w:cs="宋体"/>
          <w:color w:val="000000"/>
        </w:rPr>
      </w:pPr>
      <w:r>
        <w:rPr>
          <w:rFonts w:hint="eastAsia" w:ascii="宋体" w:hAnsi="宋体" w:eastAsia="宋体" w:cs="宋体"/>
          <w:color w:val="000000"/>
        </w:rPr>
        <w:t>联系方式：0513-85110636,15951322510</w:t>
      </w:r>
    </w:p>
    <w:p w14:paraId="354486D3">
      <w:pPr>
        <w:snapToGrid w:val="0"/>
        <w:spacing w:line="360" w:lineRule="auto"/>
        <w:ind w:left="-2" w:leftChars="-1" w:firstLine="431"/>
        <w:rPr>
          <w:rFonts w:ascii="宋体" w:hAnsi="宋体" w:eastAsia="宋体" w:cs="宋体"/>
          <w:color w:val="000000"/>
        </w:rPr>
      </w:pPr>
      <w:r>
        <w:rPr>
          <w:rFonts w:hint="eastAsia" w:ascii="宋体" w:hAnsi="宋体" w:eastAsia="宋体" w:cs="宋体"/>
          <w:color w:val="000000"/>
        </w:rPr>
        <w:t>3. 项目联系方式</w:t>
      </w:r>
    </w:p>
    <w:p w14:paraId="7B87E973">
      <w:pPr>
        <w:snapToGrid w:val="0"/>
        <w:spacing w:line="360" w:lineRule="auto"/>
        <w:ind w:left="-2" w:leftChars="-1" w:firstLine="431"/>
        <w:rPr>
          <w:rFonts w:ascii="宋体" w:hAnsi="宋体" w:eastAsia="宋体" w:cs="宋体"/>
          <w:color w:val="000000"/>
        </w:rPr>
      </w:pPr>
      <w:r>
        <w:rPr>
          <w:rFonts w:hint="eastAsia" w:ascii="宋体" w:hAnsi="宋体" w:eastAsia="宋体" w:cs="宋体"/>
          <w:color w:val="000000"/>
        </w:rPr>
        <w:t>采购文件制作人：张女士</w:t>
      </w:r>
    </w:p>
    <w:p w14:paraId="147CB792">
      <w:pPr>
        <w:snapToGrid w:val="0"/>
        <w:spacing w:line="360" w:lineRule="auto"/>
        <w:ind w:left="-2" w:leftChars="-1" w:firstLine="43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rPr>
        <w:t>电话：0513-85110636，15951322510</w:t>
      </w:r>
    </w:p>
    <w:p w14:paraId="0AACE7D1">
      <w:pPr>
        <w:snapToGrid w:val="0"/>
        <w:spacing w:line="360" w:lineRule="exact"/>
        <w:rPr>
          <w:rFonts w:ascii="宋体" w:hAnsi="宋体" w:eastAsia="宋体" w:cs="宋体"/>
          <w:b/>
          <w:bCs/>
        </w:rPr>
      </w:pPr>
    </w:p>
    <w:p w14:paraId="591E7B9D">
      <w:pPr>
        <w:snapToGrid w:val="0"/>
        <w:spacing w:line="360" w:lineRule="exact"/>
        <w:rPr>
          <w:rFonts w:ascii="宋体" w:hAnsi="宋体" w:eastAsia="宋体" w:cs="宋体"/>
          <w:b/>
          <w:bCs/>
        </w:rPr>
      </w:pPr>
    </w:p>
    <w:p w14:paraId="0A3AB37E">
      <w:pPr>
        <w:snapToGrid w:val="0"/>
        <w:spacing w:line="360" w:lineRule="exact"/>
        <w:rPr>
          <w:rFonts w:ascii="宋体" w:hAnsi="宋体" w:eastAsia="宋体" w:cs="宋体"/>
          <w:b/>
          <w:bCs/>
        </w:rPr>
      </w:pPr>
    </w:p>
    <w:p w14:paraId="28F384BD">
      <w:pPr>
        <w:pStyle w:val="21"/>
      </w:pPr>
      <w:bookmarkStart w:id="0" w:name="_Toc363573853"/>
    </w:p>
    <w:p w14:paraId="32F6BC29">
      <w:pPr>
        <w:pStyle w:val="21"/>
      </w:pPr>
    </w:p>
    <w:bookmarkEnd w:id="0"/>
    <w:p w14:paraId="23955973">
      <w:pPr>
        <w:pStyle w:val="2"/>
        <w:ind w:left="480" w:firstLine="480"/>
      </w:pPr>
      <w:bookmarkStart w:id="1" w:name="_Toc363573854"/>
    </w:p>
    <w:bookmarkEnd w:id="1"/>
    <w:p w14:paraId="65540FD0">
      <w:pPr>
        <w:tabs>
          <w:tab w:val="left" w:pos="1050"/>
          <w:tab w:val="left" w:pos="2375"/>
          <w:tab w:val="center" w:pos="4818"/>
          <w:tab w:val="right" w:leader="dot" w:pos="9402"/>
        </w:tabs>
        <w:spacing w:line="600" w:lineRule="exact"/>
        <w:jc w:val="center"/>
        <w:outlineLvl w:val="0"/>
        <w:rPr>
          <w:rFonts w:ascii="宋体" w:hAnsi="宋体" w:eastAsia="宋体" w:cs="宋体"/>
          <w:b/>
          <w:bCs/>
          <w:w w:val="80"/>
          <w:sz w:val="36"/>
          <w:szCs w:val="36"/>
        </w:rPr>
      </w:pPr>
      <w:bookmarkStart w:id="2" w:name="_Toc363573855"/>
      <w:r>
        <w:rPr>
          <w:rFonts w:hint="eastAsia" w:ascii="宋体" w:hAnsi="宋体" w:eastAsia="宋体" w:cs="宋体"/>
          <w:b/>
          <w:bCs/>
          <w:w w:val="80"/>
          <w:sz w:val="36"/>
          <w:szCs w:val="36"/>
        </w:rPr>
        <w:t>第二章 供应商须知</w:t>
      </w:r>
    </w:p>
    <w:p w14:paraId="27C5F382">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一、说明</w:t>
      </w:r>
    </w:p>
    <w:p w14:paraId="2923E1F0">
      <w:pPr>
        <w:snapToGrid w:val="0"/>
        <w:spacing w:line="360" w:lineRule="auto"/>
        <w:ind w:firstLine="480" w:firstLineChars="200"/>
        <w:rPr>
          <w:rFonts w:ascii="宋体" w:hAnsi="宋体" w:eastAsia="宋体" w:cs="宋体"/>
        </w:rPr>
      </w:pPr>
      <w:r>
        <w:rPr>
          <w:rFonts w:hint="eastAsia" w:ascii="宋体" w:hAnsi="宋体" w:eastAsia="宋体" w:cs="宋体"/>
        </w:rPr>
        <w:t>1. 本竞争性谈判文件仅适用于江苏科建工程项目管理有限公司组织的本项目采购活动。</w:t>
      </w:r>
    </w:p>
    <w:p w14:paraId="108A619F">
      <w:pPr>
        <w:snapToGrid w:val="0"/>
        <w:spacing w:line="360" w:lineRule="auto"/>
        <w:ind w:firstLine="480" w:firstLineChars="200"/>
        <w:rPr>
          <w:rFonts w:ascii="宋体" w:hAnsi="宋体" w:eastAsia="宋体" w:cs="宋体"/>
        </w:rPr>
      </w:pPr>
      <w:r>
        <w:rPr>
          <w:rFonts w:hint="eastAsia" w:ascii="宋体" w:hAnsi="宋体" w:eastAsia="宋体" w:cs="宋体"/>
        </w:rPr>
        <w:t>2. 本项目采购活动及因本项目竞争性谈判产生的合同受中国法律制约和保护。</w:t>
      </w:r>
    </w:p>
    <w:p w14:paraId="5D4E4088">
      <w:pPr>
        <w:snapToGrid w:val="0"/>
        <w:spacing w:line="360" w:lineRule="auto"/>
        <w:ind w:firstLine="480" w:firstLineChars="200"/>
        <w:rPr>
          <w:rFonts w:ascii="宋体" w:hAnsi="宋体" w:eastAsia="宋体" w:cs="宋体"/>
        </w:rPr>
      </w:pPr>
      <w:r>
        <w:rPr>
          <w:rFonts w:hint="eastAsia" w:ascii="宋体" w:hAnsi="宋体" w:eastAsia="宋体" w:cs="宋体"/>
        </w:rPr>
        <w:t>3. 本竞争性谈判文件的解释权属于本采购代理机构。</w:t>
      </w:r>
    </w:p>
    <w:p w14:paraId="340CB583">
      <w:pPr>
        <w:snapToGrid w:val="0"/>
        <w:spacing w:line="360" w:lineRule="auto"/>
        <w:ind w:firstLine="480" w:firstLineChars="200"/>
        <w:rPr>
          <w:rFonts w:ascii="宋体" w:hAnsi="宋体" w:eastAsia="宋体" w:cs="宋体"/>
        </w:rPr>
      </w:pPr>
      <w:r>
        <w:rPr>
          <w:rFonts w:hint="eastAsia" w:ascii="宋体" w:hAnsi="宋体" w:eastAsia="宋体" w:cs="宋体"/>
        </w:rPr>
        <w:t>4. 供应商在知道或应当知道本项目竞争性谈判公告及竞争性谈判文件中的所有内容：供应商获取竞争性谈判文件后，应仔细检查竞争性谈判文件的所有内容，如有内容或页码残缺、资格要求和技术参数含有倾向性或排他性等表述的</w:t>
      </w:r>
      <w:r>
        <w:rPr>
          <w:rFonts w:hint="eastAsia" w:ascii="宋体" w:hAnsi="宋体" w:eastAsia="宋体" w:cs="宋体"/>
          <w:bCs/>
          <w:color w:val="000000" w:themeColor="text1"/>
          <w14:textFill>
            <w14:solidFill>
              <w14:schemeClr w14:val="tx1"/>
            </w14:solidFill>
          </w14:textFill>
        </w:rPr>
        <w:t>，请在开标前以书面形式提出询问或疑问</w:t>
      </w:r>
      <w:r>
        <w:rPr>
          <w:rFonts w:hint="eastAsia" w:ascii="宋体" w:hAnsi="宋体" w:eastAsia="宋体" w:cs="宋体"/>
          <w:color w:val="000000" w:themeColor="text1"/>
          <w14:textFill>
            <w14:solidFill>
              <w14:schemeClr w14:val="tx1"/>
            </w14:solidFill>
          </w14:textFill>
        </w:rPr>
        <w:t>。未在规定时间内提出询</w:t>
      </w:r>
      <w:r>
        <w:rPr>
          <w:rFonts w:hint="eastAsia" w:ascii="宋体" w:hAnsi="宋体" w:eastAsia="宋体" w:cs="宋体"/>
        </w:rPr>
        <w:t>问或疑问的，视同供应商理解并接受本竞争性谈判文件所有内容，并由此引起的损失自负。供应商不得在竞争性谈判结束后针对竞争性谈判文件所有内容提出质疑事项。非书面形式的不作为日后质疑提出的依据。</w:t>
      </w:r>
    </w:p>
    <w:p w14:paraId="5E1EC912">
      <w:pPr>
        <w:snapToGrid w:val="0"/>
        <w:spacing w:line="360" w:lineRule="auto"/>
        <w:ind w:firstLine="480" w:firstLineChars="200"/>
        <w:rPr>
          <w:rFonts w:ascii="宋体" w:hAnsi="宋体" w:eastAsia="宋体" w:cs="宋体"/>
        </w:rPr>
      </w:pPr>
      <w:r>
        <w:rPr>
          <w:rFonts w:hint="eastAsia" w:ascii="宋体" w:hAnsi="宋体" w:eastAsia="宋体" w:cs="宋体"/>
        </w:rPr>
        <w:t>5. 供应商应认真审阅本竞争性谈判文件中的所有事项、格式、条款和规范要求等，如果供应商没有按照竞争性谈判文件要求提交竞争性谈判响应文件，或者竞争性谈判响应文件没有对竞争性谈判文件做出实质性响应，有可能被拒绝参与竞争性谈判。</w:t>
      </w:r>
    </w:p>
    <w:p w14:paraId="4FE0D69C">
      <w:pPr>
        <w:snapToGrid w:val="0"/>
        <w:spacing w:line="360" w:lineRule="auto"/>
        <w:ind w:firstLine="480" w:firstLineChars="200"/>
        <w:rPr>
          <w:rFonts w:ascii="宋体" w:hAnsi="宋体" w:eastAsia="宋体" w:cs="宋体"/>
        </w:rPr>
      </w:pPr>
      <w:r>
        <w:rPr>
          <w:rFonts w:hint="eastAsia" w:ascii="宋体" w:hAnsi="宋体" w:eastAsia="宋体" w:cs="宋体"/>
        </w:rPr>
        <w:t>6. 竞争性谈判文件项目需求提供的可能涉及到的工艺、材料、设备、商标、样本、技术规范、参数规格、品牌等，仅作为说明并没有限制性，供应商在竞标时可以选用替代，但这些替代的品牌、产品技术标准要优于或相当于项目需求技术规格中要求的标准，以满足采购人的需要。</w:t>
      </w:r>
    </w:p>
    <w:p w14:paraId="163DE6EB">
      <w:pPr>
        <w:snapToGrid w:val="0"/>
        <w:spacing w:line="360" w:lineRule="auto"/>
        <w:ind w:firstLine="480" w:firstLineChars="200"/>
        <w:rPr>
          <w:rFonts w:ascii="宋体" w:hAnsi="宋体" w:eastAsia="宋体" w:cs="宋体"/>
          <w:u w:val="single"/>
        </w:rPr>
      </w:pPr>
      <w:r>
        <w:rPr>
          <w:rFonts w:hint="eastAsia" w:ascii="宋体" w:hAnsi="宋体" w:eastAsia="宋体" w:cs="宋体"/>
        </w:rPr>
        <w:t>7. 本采购文件内所称的“以上”、“以下”、“内”、“以内”，包括本数；所称的“不足”、“少于”，不包括本数。</w:t>
      </w:r>
    </w:p>
    <w:p w14:paraId="34AB0F2F">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二、竞争性谈判文件的补充说明、澄清、修改、答疑</w:t>
      </w:r>
    </w:p>
    <w:p w14:paraId="1961F055">
      <w:pPr>
        <w:snapToGrid w:val="0"/>
        <w:spacing w:line="360" w:lineRule="auto"/>
        <w:ind w:firstLine="480" w:firstLineChars="200"/>
        <w:rPr>
          <w:rFonts w:ascii="宋体" w:hAnsi="宋体" w:eastAsia="宋体" w:cs="宋体"/>
        </w:rPr>
      </w:pPr>
      <w:r>
        <w:rPr>
          <w:rFonts w:hint="eastAsia" w:ascii="宋体" w:hAnsi="宋体" w:eastAsia="宋体" w:cs="宋体"/>
        </w:rPr>
        <w:t>1. 采购代理机构有权对发出的竞争性谈判文件进行必要的补充说明、澄清或修改。</w:t>
      </w:r>
    </w:p>
    <w:p w14:paraId="405F14EF">
      <w:pPr>
        <w:snapToGrid w:val="0"/>
        <w:spacing w:line="360" w:lineRule="auto"/>
        <w:ind w:firstLine="480" w:firstLineChars="200"/>
        <w:rPr>
          <w:rFonts w:ascii="宋体" w:hAnsi="宋体" w:eastAsia="宋体" w:cs="宋体"/>
        </w:rPr>
      </w:pPr>
      <w:r>
        <w:rPr>
          <w:rFonts w:hint="eastAsia" w:ascii="宋体" w:hAnsi="宋体" w:eastAsia="宋体" w:cs="宋体"/>
        </w:rPr>
        <w:t>2. 凡涉及竞争性谈判文件的补充说明、澄清或修改，均以采购代理机构以书面发出的信息为准。</w:t>
      </w:r>
    </w:p>
    <w:p w14:paraId="33D1A0AC">
      <w:pPr>
        <w:snapToGrid w:val="0"/>
        <w:spacing w:line="360" w:lineRule="auto"/>
        <w:ind w:firstLine="480" w:firstLineChars="200"/>
        <w:rPr>
          <w:rFonts w:ascii="宋体" w:hAnsi="宋体" w:eastAsia="宋体" w:cs="宋体"/>
        </w:rPr>
      </w:pPr>
      <w:r>
        <w:rPr>
          <w:rFonts w:hint="eastAsia" w:ascii="宋体" w:hAnsi="宋体" w:eastAsia="宋体" w:cs="宋体"/>
        </w:rPr>
        <w:t>3. 采购代理机构对竞争性谈判文件的补充说明、澄清或修改，将构成本项目采购文件的一部分，对供应商具有约束力。</w:t>
      </w:r>
    </w:p>
    <w:p w14:paraId="160D8E59">
      <w:pPr>
        <w:snapToGrid w:val="0"/>
        <w:spacing w:line="360" w:lineRule="auto"/>
        <w:ind w:firstLine="480" w:firstLineChars="200"/>
        <w:rPr>
          <w:rFonts w:ascii="宋体" w:hAnsi="宋体" w:eastAsia="宋体" w:cs="宋体"/>
        </w:rPr>
      </w:pPr>
      <w:r>
        <w:rPr>
          <w:rFonts w:hint="eastAsia" w:ascii="宋体" w:hAnsi="宋体" w:eastAsia="宋体" w:cs="宋体"/>
        </w:rPr>
        <w:t>4. 补充说明、澄清或修改的内容可能影响到响应文件编制的，采购代理机构将在首次提交竞争性谈判响应文件截止之日</w:t>
      </w:r>
      <w:r>
        <w:rPr>
          <w:rFonts w:hint="eastAsia" w:ascii="宋体" w:hAnsi="宋体" w:eastAsia="宋体" w:cs="宋体"/>
          <w:lang w:val="en-US" w:eastAsia="zh-CN"/>
        </w:rPr>
        <w:t>5</w:t>
      </w:r>
      <w:r>
        <w:rPr>
          <w:rFonts w:hint="eastAsia" w:ascii="宋体" w:hAnsi="宋体" w:eastAsia="宋体" w:cs="宋体"/>
        </w:rPr>
        <w:t>个工作日前，发出书面补充通知，不足</w:t>
      </w:r>
      <w:r>
        <w:rPr>
          <w:rFonts w:hint="eastAsia" w:ascii="宋体" w:hAnsi="宋体" w:eastAsia="宋体" w:cs="宋体"/>
          <w:lang w:val="en-US" w:eastAsia="zh-CN"/>
        </w:rPr>
        <w:t>5</w:t>
      </w:r>
      <w:r>
        <w:rPr>
          <w:rFonts w:hint="eastAsia" w:ascii="宋体" w:hAnsi="宋体" w:eastAsia="宋体" w:cs="宋体"/>
        </w:rPr>
        <w:t>个工作日的，应当顺延首次提交竞争性谈判响应文件截止之日。</w:t>
      </w:r>
    </w:p>
    <w:p w14:paraId="529EDFB7">
      <w:pPr>
        <w:snapToGrid w:val="0"/>
        <w:spacing w:line="360" w:lineRule="auto"/>
        <w:ind w:firstLine="480" w:firstLineChars="200"/>
        <w:rPr>
          <w:rFonts w:ascii="宋体" w:hAnsi="宋体" w:eastAsia="宋体" w:cs="宋体"/>
        </w:rPr>
      </w:pPr>
      <w:r>
        <w:rPr>
          <w:rFonts w:hint="eastAsia" w:ascii="宋体" w:hAnsi="宋体" w:eastAsia="宋体" w:cs="宋体"/>
        </w:rPr>
        <w:t>5. 除非采购代理机构以书面形式对竞争性谈判文件作出澄清、修改、补充并通知到供应商，供应商对涉及竞争性谈判文件的任何推论、理解和结论所造成的结果，均由供应商自负。</w:t>
      </w:r>
    </w:p>
    <w:p w14:paraId="49AAC731">
      <w:pPr>
        <w:snapToGrid w:val="0"/>
        <w:spacing w:line="360" w:lineRule="auto"/>
        <w:ind w:firstLine="480" w:firstLineChars="200"/>
        <w:rPr>
          <w:rFonts w:ascii="宋体" w:hAnsi="宋体" w:eastAsia="宋体" w:cs="宋体"/>
        </w:rPr>
      </w:pPr>
      <w:r>
        <w:rPr>
          <w:rFonts w:hint="eastAsia" w:ascii="宋体" w:hAnsi="宋体" w:eastAsia="宋体" w:cs="宋体"/>
        </w:rPr>
        <w:t>6. 采购单位视情组织答疑会。如有产生答疑且对竞争性谈判文件内容有修改，采购代理机构将按照本须知有关规定，以补充通知（书面）的方式发出。</w:t>
      </w:r>
    </w:p>
    <w:p w14:paraId="501298E1">
      <w:pPr>
        <w:spacing w:line="360" w:lineRule="auto"/>
        <w:ind w:firstLine="482" w:firstLineChars="200"/>
        <w:rPr>
          <w:rFonts w:ascii="宋体" w:hAnsi="宋体" w:eastAsia="宋体" w:cs="宋体"/>
          <w:b/>
          <w:bCs/>
        </w:rPr>
      </w:pPr>
      <w:r>
        <w:rPr>
          <w:rFonts w:hint="eastAsia" w:ascii="宋体" w:hAnsi="宋体" w:eastAsia="宋体" w:cs="宋体"/>
          <w:b/>
          <w:bCs/>
        </w:rPr>
        <w:t>三、竞谈项目涉及到的现场勘察（如有）</w:t>
      </w:r>
    </w:p>
    <w:p w14:paraId="1589AA4F">
      <w:pPr>
        <w:spacing w:line="360" w:lineRule="auto"/>
        <w:ind w:firstLine="480" w:firstLineChars="200"/>
        <w:rPr>
          <w:rFonts w:ascii="宋体" w:hAnsi="宋体" w:eastAsia="宋体" w:cs="宋体"/>
        </w:rPr>
      </w:pPr>
      <w:r>
        <w:rPr>
          <w:rFonts w:hint="eastAsia" w:ascii="宋体" w:hAnsi="宋体" w:eastAsia="宋体" w:cs="宋体"/>
        </w:rPr>
        <w:t>1、供应商须在响应文件递交之日前对有关现场和周围环境进行勘察，以获取编制谈判响应文件和签署合同所需的信息。勘察现场所发生的费用由供应商自行承担。</w:t>
      </w:r>
    </w:p>
    <w:p w14:paraId="1E2F3362">
      <w:pPr>
        <w:spacing w:line="360" w:lineRule="auto"/>
        <w:ind w:firstLine="480" w:firstLineChars="200"/>
        <w:rPr>
          <w:rFonts w:ascii="宋体" w:hAnsi="宋体" w:eastAsia="宋体" w:cs="宋体"/>
        </w:rPr>
      </w:pPr>
      <w:r>
        <w:rPr>
          <w:rFonts w:hint="eastAsia" w:ascii="宋体" w:hAnsi="宋体" w:eastAsia="宋体" w:cs="宋体"/>
        </w:rPr>
        <w:t>2、采购单位向供应商提供的有关现场的资料和数据，是采购单位现有的并认为能使供应商可利用的资料。采购单位对供应商由此而做出的推论、理解和结论概不负责。</w:t>
      </w:r>
    </w:p>
    <w:p w14:paraId="5A9856B9">
      <w:pPr>
        <w:spacing w:line="360" w:lineRule="auto"/>
        <w:ind w:firstLine="480" w:firstLineChars="200"/>
        <w:rPr>
          <w:rFonts w:ascii="宋体" w:hAnsi="宋体" w:eastAsia="宋体" w:cs="宋体"/>
        </w:rPr>
      </w:pPr>
      <w:r>
        <w:rPr>
          <w:rFonts w:hint="eastAsia" w:ascii="宋体" w:hAnsi="宋体" w:eastAsia="宋体" w:cs="宋体"/>
        </w:rPr>
        <w:t>3、经采购单位允许，供应商可以勘察为目的进入采购单位的项目现场，但供应商不得因此使采购单位承担有关的责任和蒙受损失。供应商应承担勘察现场的责任和风险。</w:t>
      </w:r>
    </w:p>
    <w:p w14:paraId="40A94597">
      <w:pPr>
        <w:spacing w:line="360" w:lineRule="auto"/>
        <w:ind w:firstLine="480" w:firstLineChars="200"/>
        <w:rPr>
          <w:rFonts w:ascii="宋体" w:hAnsi="宋体" w:eastAsia="宋体" w:cs="宋体"/>
        </w:rPr>
      </w:pPr>
      <w:r>
        <w:rPr>
          <w:rFonts w:hint="eastAsia" w:ascii="宋体" w:hAnsi="宋体" w:eastAsia="宋体" w:cs="宋体"/>
        </w:rPr>
        <w:t>4、供应商应认真踏勘现场。在现场勘察时，熟悉现场及周围交通道路等情况，以获得一切可能影响其谈判的直接资料。供应商成交后，不得以不完全了解现场情况为理由而向采购单位提出任何索赔的要求，对此采购单位不承担任何责任并将不作任何答复与考虑。</w:t>
      </w:r>
    </w:p>
    <w:p w14:paraId="0645C9F0">
      <w:pPr>
        <w:pStyle w:val="2"/>
        <w:ind w:left="0" w:leftChars="0" w:firstLine="482"/>
        <w:rPr>
          <w:rFonts w:ascii="宋体" w:hAnsi="宋体" w:cs="宋体"/>
          <w:b/>
          <w:bCs/>
        </w:rPr>
      </w:pPr>
      <w:r>
        <w:rPr>
          <w:rFonts w:hint="eastAsia" w:ascii="宋体" w:hAnsi="宋体" w:cs="宋体"/>
          <w:b/>
          <w:bCs/>
        </w:rPr>
        <w:t>四、竞争性谈判响应文件的组成及装订</w:t>
      </w:r>
    </w:p>
    <w:p w14:paraId="73014A25">
      <w:pPr>
        <w:snapToGrid w:val="0"/>
        <w:spacing w:line="360" w:lineRule="auto"/>
        <w:ind w:firstLine="480" w:firstLineChars="200"/>
        <w:rPr>
          <w:rFonts w:ascii="宋体" w:hAnsi="宋体" w:eastAsia="宋体" w:cs="宋体"/>
        </w:rPr>
      </w:pPr>
      <w:r>
        <w:rPr>
          <w:rFonts w:hint="eastAsia" w:ascii="宋体" w:hAnsi="宋体" w:eastAsia="宋体" w:cs="宋体"/>
        </w:rPr>
        <w:t>1. 竞争性谈判响应文件由：A资格审查材料文件B、技术响应文件C、价格响应文件，共3部分组成（以下由文件前缀号代称）（</w:t>
      </w:r>
      <w:r>
        <w:rPr>
          <w:rFonts w:hint="eastAsia" w:ascii="宋体" w:hAnsi="宋体" w:eastAsia="宋体" w:cs="宋体"/>
          <w:b/>
          <w:bCs/>
        </w:rPr>
        <w:t>相关内容见本竞争性谈判文件第七章</w:t>
      </w:r>
      <w:r>
        <w:rPr>
          <w:rFonts w:hint="eastAsia" w:ascii="宋体" w:hAnsi="宋体" w:eastAsia="宋体" w:cs="宋体"/>
        </w:rPr>
        <w:t>）。</w:t>
      </w:r>
    </w:p>
    <w:p w14:paraId="0C176008">
      <w:pPr>
        <w:snapToGrid w:val="0"/>
        <w:spacing w:line="360" w:lineRule="auto"/>
        <w:ind w:firstLine="484" w:firstLineChars="202"/>
        <w:rPr>
          <w:rFonts w:ascii="宋体" w:hAnsi="宋体" w:eastAsia="宋体" w:cs="宋体"/>
        </w:rPr>
      </w:pPr>
      <w:r>
        <w:rPr>
          <w:rFonts w:hint="eastAsia" w:ascii="宋体" w:hAnsi="宋体" w:eastAsia="宋体" w:cs="宋体"/>
        </w:rPr>
        <w:t>2. 供应商按竞争性谈判响应文件组成顺序编写响应文件，并牢固装订成册。竞争性谈判响应文件均需采用A4纸（图纸等除外），不允许使用活页夹、拉杆夹、文件夹、塑料方便式书脊（插入式或穿孔式）装订。竞争性谈判响应文件不得行间插字、涂改、增删。修改错漏处，须经过供应商法人代表或被委托受权人签字（或盖章）并加盖公章。</w:t>
      </w:r>
    </w:p>
    <w:p w14:paraId="538C4865">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五、竞争性谈判响应文件的份数、签署和退还</w:t>
      </w:r>
    </w:p>
    <w:p w14:paraId="058EA9E1">
      <w:pPr>
        <w:snapToGrid w:val="0"/>
        <w:spacing w:line="360" w:lineRule="auto"/>
        <w:ind w:firstLine="480" w:firstLineChars="200"/>
        <w:rPr>
          <w:rFonts w:ascii="宋体" w:hAnsi="宋体" w:eastAsia="宋体" w:cs="宋体"/>
          <w:b/>
          <w:bCs/>
        </w:rPr>
      </w:pPr>
      <w:r>
        <w:rPr>
          <w:rFonts w:hint="eastAsia" w:ascii="宋体" w:hAnsi="宋体" w:eastAsia="宋体" w:cs="宋体"/>
        </w:rPr>
        <w:t>1. 竞争性谈判响应文件均为</w:t>
      </w:r>
      <w:r>
        <w:rPr>
          <w:rFonts w:hint="eastAsia" w:ascii="宋体" w:hAnsi="宋体" w:eastAsia="宋体" w:cs="宋体"/>
          <w:b/>
          <w:bCs/>
          <w:u w:val="thick" w:color="FF0000"/>
        </w:rPr>
        <w:t>一份“正本”和贰份“副本”</w:t>
      </w:r>
      <w:r>
        <w:rPr>
          <w:rFonts w:hint="eastAsia" w:ascii="宋体" w:hAnsi="宋体" w:eastAsia="宋体" w:cs="宋体"/>
          <w:b/>
          <w:bCs/>
        </w:rPr>
        <w:t>。</w:t>
      </w:r>
    </w:p>
    <w:p w14:paraId="532D230A">
      <w:pPr>
        <w:snapToGrid w:val="0"/>
        <w:spacing w:line="360" w:lineRule="auto"/>
        <w:ind w:firstLine="480" w:firstLineChars="200"/>
        <w:rPr>
          <w:rFonts w:ascii="宋体" w:hAnsi="宋体" w:eastAsia="宋体" w:cs="宋体"/>
        </w:rPr>
      </w:pPr>
      <w:r>
        <w:rPr>
          <w:rFonts w:hint="eastAsia" w:ascii="宋体" w:hAnsi="宋体" w:eastAsia="宋体" w:cs="宋体"/>
        </w:rPr>
        <w:t>2. 在每一份竞争性谈判响应文件上要明确标注项目名称、项目编号、竞争性谈判响应文件各自对应的名称、供应商全称、“正本”、“副本”字样，“正本”和“副本”若有差异，概以“正本”为准。</w:t>
      </w:r>
    </w:p>
    <w:p w14:paraId="040B8731">
      <w:pPr>
        <w:snapToGrid w:val="0"/>
        <w:spacing w:line="360" w:lineRule="auto"/>
        <w:ind w:firstLine="480" w:firstLineChars="200"/>
        <w:rPr>
          <w:rFonts w:ascii="宋体" w:hAnsi="宋体" w:eastAsia="宋体" w:cs="宋体"/>
        </w:rPr>
      </w:pPr>
      <w:r>
        <w:rPr>
          <w:rFonts w:hint="eastAsia" w:ascii="宋体" w:hAnsi="宋体" w:eastAsia="宋体" w:cs="宋体"/>
        </w:rPr>
        <w:t>3. 竞争性谈判响应文件中的所有“正本”，须为打印的，其正文内容由法定代表人或被委托受权人签字（或盖章）并加盖公章，“副本”可为“正本”的复印件。</w:t>
      </w:r>
    </w:p>
    <w:p w14:paraId="68C9FA7D">
      <w:pPr>
        <w:snapToGrid w:val="0"/>
        <w:spacing w:line="360" w:lineRule="auto"/>
        <w:ind w:firstLine="480" w:firstLineChars="200"/>
        <w:rPr>
          <w:rFonts w:ascii="宋体" w:hAnsi="宋体" w:eastAsia="宋体" w:cs="宋体"/>
        </w:rPr>
      </w:pPr>
      <w:r>
        <w:rPr>
          <w:rFonts w:hint="eastAsia" w:ascii="宋体" w:hAnsi="宋体" w:eastAsia="宋体" w:cs="宋体"/>
        </w:rPr>
        <w:t>4. 竞争性谈判程序顺利进行后，所有竞争性谈判响应文件都将作为档案保存，不论成交与否，采购代理机构均不退回（未拆封的除外）。</w:t>
      </w:r>
    </w:p>
    <w:p w14:paraId="6E3FB70C">
      <w:pPr>
        <w:snapToGrid w:val="0"/>
        <w:spacing w:line="360" w:lineRule="auto"/>
        <w:ind w:firstLine="472" w:firstLineChars="196"/>
        <w:outlineLvl w:val="1"/>
        <w:rPr>
          <w:rFonts w:ascii="宋体" w:hAnsi="宋体" w:eastAsia="宋体" w:cs="宋体"/>
          <w:b/>
          <w:bCs/>
        </w:rPr>
      </w:pPr>
      <w:r>
        <w:rPr>
          <w:rFonts w:hint="eastAsia" w:ascii="宋体" w:hAnsi="宋体" w:eastAsia="宋体" w:cs="宋体"/>
          <w:b/>
          <w:bCs/>
        </w:rPr>
        <w:t>六、竞争性谈判响应文件的密封及标记</w:t>
      </w:r>
    </w:p>
    <w:p w14:paraId="60C39942">
      <w:pPr>
        <w:snapToGrid w:val="0"/>
        <w:spacing w:line="360" w:lineRule="auto"/>
        <w:ind w:firstLine="480" w:firstLineChars="200"/>
        <w:rPr>
          <w:rFonts w:ascii="宋体" w:hAnsi="宋体" w:eastAsia="宋体" w:cs="宋体"/>
        </w:rPr>
      </w:pPr>
      <w:r>
        <w:rPr>
          <w:rFonts w:hint="eastAsia" w:ascii="宋体" w:hAnsi="宋体" w:eastAsia="宋体" w:cs="宋体"/>
        </w:rPr>
        <w:t>1.供应商须将本项目竞争性谈判响应文件：【A】、【B】、【C】</w:t>
      </w:r>
      <w:r>
        <w:rPr>
          <w:rFonts w:hint="eastAsia" w:ascii="宋体" w:hAnsi="宋体" w:eastAsia="宋体" w:cs="宋体"/>
          <w:b/>
          <w:bCs/>
        </w:rPr>
        <w:t>分别单独密封，共3个密封件</w:t>
      </w:r>
      <w:r>
        <w:rPr>
          <w:rFonts w:hint="eastAsia" w:ascii="宋体" w:hAnsi="宋体" w:eastAsia="宋体" w:cs="宋体"/>
        </w:rPr>
        <w:t>。</w:t>
      </w:r>
    </w:p>
    <w:p w14:paraId="52F0A476">
      <w:pPr>
        <w:snapToGrid w:val="0"/>
        <w:spacing w:line="360" w:lineRule="auto"/>
        <w:ind w:firstLine="480" w:firstLineChars="200"/>
        <w:rPr>
          <w:rFonts w:ascii="宋体" w:hAnsi="宋体" w:eastAsia="宋体" w:cs="宋体"/>
        </w:rPr>
      </w:pPr>
      <w:r>
        <w:rPr>
          <w:rFonts w:hint="eastAsia" w:ascii="宋体" w:hAnsi="宋体" w:eastAsia="宋体" w:cs="宋体"/>
        </w:rPr>
        <w:t>2.密封后，应在每一密封件上明确标注竞争性谈判项目名称、竞争性谈判响应文件各自对应的名称、供应商全称及日期，同时加盖供应商公章。</w:t>
      </w:r>
    </w:p>
    <w:p w14:paraId="62360EB4">
      <w:pPr>
        <w:snapToGrid w:val="0"/>
        <w:spacing w:line="360" w:lineRule="auto"/>
        <w:ind w:firstLine="480" w:firstLineChars="200"/>
        <w:rPr>
          <w:rFonts w:ascii="宋体" w:hAnsi="宋体" w:eastAsia="宋体" w:cs="宋体"/>
        </w:rPr>
      </w:pPr>
      <w:r>
        <w:rPr>
          <w:rFonts w:hint="eastAsia" w:ascii="宋体" w:hAnsi="宋体" w:eastAsia="宋体" w:cs="宋体"/>
        </w:rPr>
        <w:t>【特别提醒】竞争性谈判响应文件中的【A】【B】的“正本”或“副本”内，均不得含有任何【C】中的报价表（报价单）的内容，否则作无效竞争性谈判响应处理。</w:t>
      </w:r>
    </w:p>
    <w:p w14:paraId="4F0CFA0A">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七、竞争性谈判响应报价</w:t>
      </w:r>
    </w:p>
    <w:p w14:paraId="1061E17F">
      <w:pPr>
        <w:snapToGrid w:val="0"/>
        <w:spacing w:line="360" w:lineRule="auto"/>
        <w:ind w:firstLine="494" w:firstLineChars="206"/>
        <w:rPr>
          <w:rFonts w:ascii="宋体" w:hAnsi="宋体" w:eastAsia="宋体" w:cs="宋体"/>
          <w:b/>
          <w:bCs/>
        </w:rPr>
      </w:pPr>
      <w:r>
        <w:rPr>
          <w:rFonts w:hint="eastAsia" w:ascii="宋体" w:hAnsi="宋体" w:eastAsia="宋体" w:cs="宋体"/>
        </w:rPr>
        <w:t>1. 本项目不接受任何有选择的报价。</w:t>
      </w:r>
    </w:p>
    <w:p w14:paraId="4E28D548">
      <w:pPr>
        <w:snapToGrid w:val="0"/>
        <w:spacing w:line="360" w:lineRule="auto"/>
        <w:ind w:firstLine="494" w:firstLineChars="206"/>
        <w:rPr>
          <w:rFonts w:ascii="宋体" w:hAnsi="宋体" w:eastAsia="宋体" w:cs="宋体"/>
        </w:rPr>
      </w:pPr>
      <w:r>
        <w:rPr>
          <w:rFonts w:hint="eastAsia" w:ascii="宋体" w:hAnsi="宋体" w:eastAsia="宋体" w:cs="宋体"/>
        </w:rPr>
        <w:t>2. 竞争性谈判报价均以人民币为报价的货币单位。</w:t>
      </w:r>
    </w:p>
    <w:p w14:paraId="25055004">
      <w:pPr>
        <w:snapToGrid w:val="0"/>
        <w:spacing w:line="360" w:lineRule="auto"/>
        <w:ind w:firstLine="494" w:firstLineChars="206"/>
        <w:rPr>
          <w:rFonts w:ascii="宋体" w:hAnsi="宋体" w:eastAsia="宋体" w:cs="宋体"/>
        </w:rPr>
      </w:pPr>
      <w:r>
        <w:rPr>
          <w:rFonts w:hint="eastAsia" w:ascii="宋体" w:hAnsi="宋体" w:eastAsia="宋体" w:cs="宋体"/>
        </w:rPr>
        <w:t>3. 竞争性谈判报价表必须加盖单位公章且必须经法定代表人或被委托受权人签字或盖章。报价表中的大写金额与小写金额、总价金额与按单价汇总金额，若有差异，将执行《政府采购货物和服务招标投标管理办法》第59条的规定。</w:t>
      </w:r>
    </w:p>
    <w:p w14:paraId="2707D938">
      <w:pPr>
        <w:snapToGrid w:val="0"/>
        <w:spacing w:line="360" w:lineRule="auto"/>
        <w:ind w:firstLine="494" w:firstLineChars="206"/>
        <w:rPr>
          <w:rFonts w:ascii="宋体" w:hAnsi="宋体" w:eastAsia="宋体" w:cs="宋体"/>
        </w:rPr>
      </w:pPr>
      <w:r>
        <w:rPr>
          <w:rFonts w:hint="eastAsia" w:ascii="宋体" w:hAnsi="宋体" w:eastAsia="宋体" w:cs="宋体"/>
        </w:rPr>
        <w:t>4. 竞争性谈判响应报价包括为完成本服务项目发生的所有含税费用、支付给员工的工资和国家强制缴纳的各种社会保障资金，以及供应商认为需要的其他费用等。除非因特殊原因并经买卖双方协商同意，成交供应商不得再要求追加任何费用。同时，除非合同条款中另有规定，否则，成交人的成交价在合同实施期间不因市场变化因素而变动。</w:t>
      </w:r>
    </w:p>
    <w:p w14:paraId="2E7D837E">
      <w:pPr>
        <w:snapToGrid w:val="0"/>
        <w:spacing w:line="360" w:lineRule="auto"/>
        <w:ind w:firstLine="480" w:firstLineChars="200"/>
        <w:rPr>
          <w:rFonts w:ascii="宋体" w:hAnsi="宋体" w:eastAsia="宋体" w:cs="宋体"/>
        </w:rPr>
      </w:pPr>
      <w:r>
        <w:rPr>
          <w:rFonts w:hint="eastAsia" w:ascii="宋体" w:hAnsi="宋体" w:eastAsia="宋体" w:cs="宋体"/>
        </w:rPr>
        <w:t>5.</w:t>
      </w:r>
      <w:r>
        <w:rPr>
          <w:rFonts w:hint="eastAsia" w:ascii="宋体" w:hAnsi="宋体" w:eastAsia="宋体" w:cs="宋体"/>
          <w:b/>
          <w:bCs/>
        </w:rPr>
        <w:t>本次竞争性谈判采购项目的响应报价有二次（最终）报价。</w:t>
      </w:r>
      <w:r>
        <w:rPr>
          <w:rFonts w:hint="eastAsia" w:ascii="宋体" w:hAnsi="宋体" w:eastAsia="宋体" w:cs="宋体"/>
          <w:b/>
          <w:bCs/>
          <w:u w:val="thick" w:color="FF0000"/>
        </w:rPr>
        <w:t>竞争性谈判评审活动过程中的谈判结束后，谈判小组应当要求所有参加谈判的供应商在规定时间内进行最后报价</w:t>
      </w:r>
      <w:r>
        <w:rPr>
          <w:rFonts w:hint="eastAsia" w:ascii="宋体" w:hAnsi="宋体" w:eastAsia="宋体" w:cs="宋体"/>
        </w:rPr>
        <w:t>。</w:t>
      </w:r>
    </w:p>
    <w:p w14:paraId="7240FCF2">
      <w:pPr>
        <w:snapToGrid w:val="0"/>
        <w:spacing w:line="360" w:lineRule="auto"/>
        <w:ind w:firstLine="482" w:firstLineChars="200"/>
        <w:rPr>
          <w:rFonts w:ascii="宋体" w:hAnsi="宋体" w:eastAsia="宋体" w:cs="宋体"/>
          <w:b/>
          <w:bCs/>
        </w:rPr>
      </w:pPr>
      <w:r>
        <w:rPr>
          <w:rFonts w:hint="eastAsia" w:ascii="宋体" w:hAnsi="宋体" w:eastAsia="宋体" w:cs="宋体"/>
          <w:b/>
          <w:bCs/>
        </w:rPr>
        <w:t>6.</w:t>
      </w:r>
      <w:r>
        <w:rPr>
          <w:rFonts w:hint="eastAsia" w:ascii="宋体" w:hAnsi="宋体" w:eastAsia="宋体" w:cs="宋体"/>
        </w:rPr>
        <w:t>竞争性谈判响应成交后，成交供应商的最终报价即为成交价，除非因特殊原因并经买卖双方协商同意，成交人不得再要求追加任何费用。同时，除非合同条款中另有规定，否则成交人的成交价在合同实施期间不因市场变化因素而变动。</w:t>
      </w:r>
    </w:p>
    <w:p w14:paraId="65F3A140">
      <w:pPr>
        <w:snapToGrid w:val="0"/>
        <w:spacing w:line="360" w:lineRule="auto"/>
        <w:ind w:firstLine="494" w:firstLineChars="206"/>
        <w:rPr>
          <w:rFonts w:ascii="宋体" w:hAnsi="宋体" w:eastAsia="宋体" w:cs="宋体"/>
          <w:color w:val="FF0000"/>
        </w:rPr>
      </w:pPr>
      <w:r>
        <w:rPr>
          <w:rFonts w:hint="eastAsia" w:ascii="宋体" w:hAnsi="宋体" w:eastAsia="宋体" w:cs="宋体"/>
        </w:rPr>
        <w:t>7.供应商应详细阅读竞争性谈判文件的全部内容，根据采购项目需求，准确制定相关工作方案等，且必须对本采购项目全部进行报价，如有漏项，视同对本项目的优惠。不按竞争性谈判文件的要求提供响应文件，导致报价无效，按无效标处理。</w:t>
      </w:r>
    </w:p>
    <w:p w14:paraId="3D49D5C4">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八、联合体</w:t>
      </w:r>
    </w:p>
    <w:p w14:paraId="27F5702D">
      <w:pPr>
        <w:snapToGrid w:val="0"/>
        <w:spacing w:line="360" w:lineRule="auto"/>
        <w:ind w:firstLine="484" w:firstLineChars="202"/>
        <w:rPr>
          <w:rFonts w:ascii="宋体" w:hAnsi="宋体" w:eastAsia="宋体" w:cs="宋体"/>
        </w:rPr>
      </w:pPr>
      <w:r>
        <w:rPr>
          <w:rFonts w:hint="eastAsia" w:ascii="宋体" w:hAnsi="宋体" w:eastAsia="宋体" w:cs="宋体"/>
        </w:rPr>
        <w:t>本项目不接受联合体参与谈判。</w:t>
      </w:r>
    </w:p>
    <w:p w14:paraId="7C4E94C7">
      <w:pPr>
        <w:snapToGrid w:val="0"/>
        <w:spacing w:line="360" w:lineRule="auto"/>
        <w:ind w:firstLine="496" w:firstLineChars="206"/>
        <w:outlineLvl w:val="1"/>
        <w:rPr>
          <w:rFonts w:ascii="宋体" w:hAnsi="宋体" w:eastAsia="宋体" w:cs="宋体"/>
        </w:rPr>
      </w:pPr>
      <w:r>
        <w:rPr>
          <w:rFonts w:hint="eastAsia" w:ascii="宋体" w:hAnsi="宋体" w:eastAsia="宋体" w:cs="宋体"/>
          <w:b/>
          <w:bCs/>
        </w:rPr>
        <w:t>九、竞争性谈判响应文件的有效期</w:t>
      </w:r>
    </w:p>
    <w:p w14:paraId="479EAFC7">
      <w:pPr>
        <w:snapToGrid w:val="0"/>
        <w:spacing w:line="360" w:lineRule="auto"/>
        <w:ind w:firstLine="480" w:firstLineChars="200"/>
        <w:rPr>
          <w:rFonts w:ascii="宋体" w:hAnsi="宋体" w:eastAsia="宋体" w:cs="宋体"/>
        </w:rPr>
      </w:pPr>
      <w:r>
        <w:rPr>
          <w:rFonts w:hint="eastAsia" w:ascii="宋体" w:hAnsi="宋体" w:eastAsia="宋体" w:cs="宋体"/>
        </w:rPr>
        <w:t>1.从竞争性谈判响应文件接收截止之日算起，</w:t>
      </w:r>
      <w:r>
        <w:rPr>
          <w:rFonts w:hint="eastAsia" w:ascii="宋体" w:hAnsi="宋体" w:eastAsia="宋体" w:cs="宋体"/>
          <w:b/>
          <w:bCs/>
        </w:rPr>
        <w:t>45</w:t>
      </w:r>
      <w:r>
        <w:rPr>
          <w:rFonts w:hint="eastAsia" w:ascii="宋体" w:hAnsi="宋体" w:eastAsia="宋体" w:cs="宋体"/>
        </w:rPr>
        <w:t>个“日历天”内投标书应保持有效。有效期短于这个规定期限的投标，将被拒绝。</w:t>
      </w:r>
    </w:p>
    <w:p w14:paraId="06FCFBD6">
      <w:pPr>
        <w:snapToGrid w:val="0"/>
        <w:spacing w:line="360" w:lineRule="auto"/>
        <w:ind w:firstLine="480" w:firstLineChars="200"/>
        <w:rPr>
          <w:rFonts w:ascii="宋体" w:hAnsi="宋体" w:eastAsia="宋体" w:cs="宋体"/>
        </w:rPr>
      </w:pPr>
      <w:r>
        <w:rPr>
          <w:rFonts w:hint="eastAsia" w:ascii="宋体" w:hAnsi="宋体" w:eastAsia="宋体" w:cs="宋体"/>
        </w:rPr>
        <w:t>2.在特殊情况下，采购代理机构可与谈判响应供应商协商延长投标书的有效期。这种要求和答复都应以书面、传真、或电报的形式进行。同意延长有效期的谈判响应供应商不能修改竞争性谈判响应文件。拒绝接受延期要求的谈判响应供应商的投标将被拒绝。</w:t>
      </w:r>
    </w:p>
    <w:p w14:paraId="42CCEFA5">
      <w:pPr>
        <w:snapToGrid w:val="0"/>
        <w:spacing w:line="360" w:lineRule="auto"/>
        <w:ind w:firstLine="496" w:firstLineChars="206"/>
        <w:outlineLvl w:val="1"/>
        <w:rPr>
          <w:rFonts w:ascii="宋体" w:hAnsi="宋体" w:eastAsia="宋体" w:cs="宋体"/>
          <w:b/>
          <w:bCs/>
        </w:rPr>
      </w:pPr>
      <w:r>
        <w:rPr>
          <w:rFonts w:hint="eastAsia" w:ascii="宋体" w:hAnsi="宋体" w:eastAsia="宋体" w:cs="宋体"/>
          <w:b/>
          <w:bCs/>
        </w:rPr>
        <w:t>十、竞争性谈判费用</w:t>
      </w:r>
    </w:p>
    <w:p w14:paraId="79B36641">
      <w:pPr>
        <w:snapToGrid w:val="0"/>
        <w:spacing w:line="360" w:lineRule="auto"/>
        <w:ind w:firstLine="496" w:firstLineChars="206"/>
        <w:rPr>
          <w:rFonts w:ascii="宋体" w:hAnsi="宋体" w:eastAsia="宋体" w:cs="宋体"/>
          <w:b/>
        </w:rPr>
      </w:pPr>
      <w:r>
        <w:rPr>
          <w:rFonts w:hint="eastAsia" w:ascii="宋体" w:hAnsi="宋体" w:eastAsia="宋体" w:cs="宋体"/>
          <w:b/>
        </w:rPr>
        <w:t>1.谈判程序顺利进行后，所有的谈判响应文件都将作为档案保存，不论成交与否，代理机构均不退回(未拆封的除外）。</w:t>
      </w:r>
    </w:p>
    <w:p w14:paraId="702F7E72">
      <w:pPr>
        <w:snapToGrid w:val="0"/>
        <w:spacing w:line="360" w:lineRule="auto"/>
        <w:ind w:firstLine="496" w:firstLineChars="206"/>
        <w:rPr>
          <w:rFonts w:ascii="宋体" w:hAnsi="宋体" w:eastAsia="宋体" w:cs="宋体"/>
          <w:b/>
        </w:rPr>
      </w:pPr>
      <w:r>
        <w:rPr>
          <w:rFonts w:hint="eastAsia" w:ascii="宋体" w:hAnsi="宋体" w:eastAsia="宋体" w:cs="宋体"/>
          <w:b/>
        </w:rPr>
        <w:t>2 .无论竞争性谈判过程和结果如何，供应商自行承担与本项目竞争性谈判有关的全部费用。</w:t>
      </w:r>
    </w:p>
    <w:p w14:paraId="5D980930">
      <w:pPr>
        <w:numPr>
          <w:ilvl w:val="0"/>
          <w:numId w:val="2"/>
        </w:numPr>
        <w:snapToGrid w:val="0"/>
        <w:spacing w:line="360" w:lineRule="auto"/>
        <w:ind w:firstLine="482" w:firstLineChars="200"/>
        <w:rPr>
          <w:rFonts w:ascii="宋体" w:hAnsi="宋体" w:eastAsia="宋体" w:cs="宋体"/>
          <w:b/>
        </w:rPr>
      </w:pPr>
      <w:r>
        <w:rPr>
          <w:rFonts w:hint="eastAsia" w:ascii="宋体" w:hAnsi="宋体" w:eastAsia="宋体" w:cs="宋体"/>
          <w:b/>
        </w:rPr>
        <w:t>本项目采购代理费（中标价的1%）及评审费（按实收取）由成交人承担。</w:t>
      </w:r>
    </w:p>
    <w:p w14:paraId="3CA38A46">
      <w:pPr>
        <w:snapToGrid w:val="0"/>
        <w:spacing w:line="360" w:lineRule="auto"/>
        <w:ind w:firstLine="482" w:firstLineChars="200"/>
        <w:rPr>
          <w:rFonts w:ascii="宋体" w:hAnsi="宋体" w:eastAsia="宋体" w:cs="宋体"/>
          <w:b/>
          <w:bCs/>
        </w:rPr>
      </w:pPr>
      <w:r>
        <w:rPr>
          <w:rFonts w:hint="eastAsia" w:ascii="宋体" w:hAnsi="宋体" w:eastAsia="宋体" w:cs="宋体"/>
          <w:b/>
          <w:bCs/>
        </w:rPr>
        <w:t>十一、履约保证金</w:t>
      </w:r>
    </w:p>
    <w:p w14:paraId="4981214A">
      <w:pPr>
        <w:snapToGrid w:val="0"/>
        <w:spacing w:line="360" w:lineRule="auto"/>
        <w:ind w:firstLine="480" w:firstLineChars="200"/>
        <w:rPr>
          <w:rFonts w:ascii="宋体" w:hAnsi="宋体" w:eastAsia="宋体" w:cs="宋体"/>
        </w:rPr>
      </w:pPr>
      <w:r>
        <w:rPr>
          <w:rFonts w:hint="eastAsia" w:ascii="宋体" w:hAnsi="宋体" w:eastAsia="宋体" w:cs="宋体"/>
        </w:rPr>
        <w:t>1.本项目成交后的履约保证金为项目成交价的5%  。</w:t>
      </w:r>
    </w:p>
    <w:p w14:paraId="3BCC2031">
      <w:pPr>
        <w:snapToGrid w:val="0"/>
        <w:spacing w:line="360" w:lineRule="auto"/>
        <w:ind w:firstLine="480" w:firstLineChars="200"/>
        <w:rPr>
          <w:rFonts w:ascii="宋体" w:hAnsi="宋体" w:eastAsia="宋体" w:cs="宋体"/>
        </w:rPr>
      </w:pPr>
      <w:r>
        <w:rPr>
          <w:rFonts w:hint="eastAsia" w:ascii="宋体" w:hAnsi="宋体" w:eastAsia="宋体" w:cs="宋体"/>
        </w:rPr>
        <w:t>2.成交供应商可以选择以</w:t>
      </w:r>
      <w:r>
        <w:rPr>
          <w:rFonts w:hint="eastAsia" w:ascii="宋体" w:hAnsi="宋体" w:eastAsia="宋体" w:cs="宋体"/>
          <w:u w:val="single"/>
        </w:rPr>
        <w:t xml:space="preserve">  支票、汇票、本票或者金融机构、担保机构出具的保函、履约保证保险  </w:t>
      </w:r>
      <w:r>
        <w:rPr>
          <w:rFonts w:hint="eastAsia" w:ascii="宋体" w:hAnsi="宋体" w:eastAsia="宋体" w:cs="宋体"/>
        </w:rPr>
        <w:t>等非现金形式缴纳履约保证金。</w:t>
      </w:r>
    </w:p>
    <w:p w14:paraId="141DA008">
      <w:pPr>
        <w:snapToGrid w:val="0"/>
        <w:spacing w:line="360" w:lineRule="auto"/>
        <w:ind w:firstLine="480" w:firstLineChars="200"/>
        <w:rPr>
          <w:rFonts w:ascii="宋体" w:hAnsi="宋体" w:eastAsia="宋体" w:cs="宋体"/>
        </w:rPr>
      </w:pPr>
      <w:r>
        <w:rPr>
          <w:rFonts w:hint="eastAsia" w:ascii="宋体" w:hAnsi="宋体" w:eastAsia="宋体" w:cs="宋体"/>
        </w:rPr>
        <w:t>3.成交供应商在中标通知书发出之日起30日内，凭“中标通知书”和“履约保证金”的缴纳凭证，与采购人签订合同，超期或未有协商，则视为自动放弃成交资格。</w:t>
      </w:r>
    </w:p>
    <w:p w14:paraId="552DA86E">
      <w:pPr>
        <w:snapToGrid w:val="0"/>
        <w:spacing w:line="360" w:lineRule="auto"/>
        <w:ind w:firstLine="480" w:firstLineChars="200"/>
        <w:rPr>
          <w:rFonts w:ascii="宋体" w:hAnsi="宋体" w:eastAsia="宋体" w:cs="宋体"/>
        </w:rPr>
      </w:pPr>
      <w:r>
        <w:rPr>
          <w:rFonts w:hint="eastAsia" w:ascii="宋体" w:hAnsi="宋体" w:eastAsia="宋体" w:cs="宋体"/>
        </w:rPr>
        <w:t>4.成交供应商在按要求保质保量的完成该项目合同并通过验收后，采购人凭成交供应商提交的申请，一次性无息退还该合同项目的履约保证金。（保险除外）</w:t>
      </w:r>
    </w:p>
    <w:p w14:paraId="4BD09B6C">
      <w:pPr>
        <w:snapToGrid w:val="0"/>
        <w:spacing w:line="360" w:lineRule="auto"/>
        <w:ind w:firstLine="480" w:firstLineChars="200"/>
      </w:pPr>
      <w:r>
        <w:rPr>
          <w:rFonts w:hint="eastAsia" w:ascii="宋体" w:hAnsi="宋体" w:eastAsia="宋体" w:cs="宋体"/>
        </w:rPr>
        <w:t>5.由于成交供应商原因，在签订合同后出现不按合同履行的情况，采购单位有权将履约保证金作为违约金，全额不予退还，同时采购单位亦有权终止合同，成交供应商还须承担相应的法律赔偿责任。</w:t>
      </w:r>
    </w:p>
    <w:p w14:paraId="0ED08457">
      <w:pPr>
        <w:adjustRightInd w:val="0"/>
        <w:snapToGrid w:val="0"/>
        <w:spacing w:line="360" w:lineRule="auto"/>
        <w:ind w:firstLine="482" w:firstLineChars="200"/>
        <w:rPr>
          <w:rFonts w:ascii="宋体" w:hAnsi="宋体" w:eastAsia="宋体" w:cs="宋体"/>
          <w:b/>
          <w:bCs/>
        </w:rPr>
      </w:pPr>
      <w:r>
        <w:rPr>
          <w:rFonts w:hint="eastAsia" w:ascii="宋体" w:hAnsi="宋体" w:eastAsia="宋体" w:cs="宋体"/>
          <w:b/>
          <w:bCs/>
        </w:rPr>
        <w:t>十二、未尽事宜</w:t>
      </w:r>
    </w:p>
    <w:p w14:paraId="73C4E1FD">
      <w:pPr>
        <w:snapToGrid w:val="0"/>
        <w:spacing w:line="360" w:lineRule="auto"/>
        <w:ind w:firstLine="480" w:firstLineChars="200"/>
        <w:rPr>
          <w:rFonts w:ascii="宋体" w:hAnsi="宋体" w:eastAsia="宋体" w:cs="宋体"/>
        </w:rPr>
      </w:pPr>
      <w:r>
        <w:rPr>
          <w:rFonts w:hint="eastAsia" w:ascii="宋体" w:hAnsi="宋体" w:eastAsia="宋体" w:cs="宋体"/>
        </w:rPr>
        <w:t>参照《中华人民共和国政府采购法》及《政府采购非招标采购方式管理办法》与其他有关法律法规的规定执行。</w:t>
      </w:r>
    </w:p>
    <w:p w14:paraId="6A6BD0FC">
      <w:pPr>
        <w:snapToGrid w:val="0"/>
        <w:spacing w:line="360" w:lineRule="auto"/>
        <w:ind w:firstLine="480" w:firstLineChars="200"/>
        <w:rPr>
          <w:rFonts w:ascii="宋体" w:hAnsi="宋体" w:eastAsia="宋体" w:cs="宋体"/>
        </w:rPr>
      </w:pPr>
    </w:p>
    <w:p w14:paraId="531D80AA">
      <w:pPr>
        <w:snapToGrid w:val="0"/>
        <w:spacing w:line="420" w:lineRule="exact"/>
        <w:ind w:firstLine="480" w:firstLineChars="200"/>
        <w:rPr>
          <w:rFonts w:ascii="宋体" w:hAnsi="宋体" w:eastAsia="宋体" w:cs="宋体"/>
        </w:rPr>
      </w:pPr>
      <w:r>
        <w:rPr>
          <w:rFonts w:hint="eastAsia" w:ascii="宋体" w:hAnsi="宋体" w:eastAsia="宋体" w:cs="宋体"/>
        </w:rPr>
        <w:t>-</w:t>
      </w:r>
    </w:p>
    <w:p w14:paraId="09228892">
      <w:pPr>
        <w:snapToGrid w:val="0"/>
        <w:spacing w:line="420" w:lineRule="exact"/>
        <w:ind w:firstLine="480" w:firstLineChars="200"/>
        <w:rPr>
          <w:rFonts w:ascii="宋体" w:hAnsi="宋体" w:eastAsia="宋体" w:cs="宋体"/>
        </w:rPr>
      </w:pPr>
    </w:p>
    <w:p w14:paraId="2564D9A8">
      <w:pPr>
        <w:widowControl/>
        <w:jc w:val="center"/>
        <w:rPr>
          <w:rFonts w:ascii="宋体" w:hAnsi="宋体" w:eastAsia="宋体" w:cs="宋体"/>
          <w:b/>
          <w:bCs/>
          <w:w w:val="80"/>
          <w:sz w:val="36"/>
          <w:szCs w:val="36"/>
        </w:rPr>
      </w:pPr>
      <w:r>
        <w:rPr>
          <w:rFonts w:hint="eastAsia" w:ascii="宋体" w:hAnsi="宋体" w:eastAsia="宋体" w:cs="宋体"/>
          <w:b/>
          <w:bCs/>
          <w:w w:val="80"/>
          <w:sz w:val="36"/>
          <w:szCs w:val="36"/>
        </w:rPr>
        <w:t>第三章   项目需求</w:t>
      </w:r>
      <w:bookmarkEnd w:id="2"/>
      <w:bookmarkStart w:id="3" w:name="_Toc13642116"/>
      <w:bookmarkStart w:id="4" w:name="_Hlk44196607"/>
    </w:p>
    <w:bookmarkEnd w:id="3"/>
    <w:bookmarkEnd w:id="4"/>
    <w:p w14:paraId="010A842F">
      <w:pPr>
        <w:spacing w:line="440" w:lineRule="exact"/>
        <w:ind w:firstLine="482" w:firstLineChars="200"/>
        <w:outlineLvl w:val="1"/>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一、</w:t>
      </w:r>
      <w:r>
        <w:rPr>
          <w:rFonts w:hint="eastAsia" w:ascii="宋体" w:hAnsi="宋体" w:eastAsia="宋体" w:cs="宋体"/>
          <w:b/>
          <w:bCs/>
          <w:color w:val="000000" w:themeColor="text1"/>
          <w:kern w:val="0"/>
          <w:lang w:val="zh-CN"/>
          <w14:textFill>
            <w14:solidFill>
              <w14:schemeClr w14:val="tx1"/>
            </w14:solidFill>
          </w14:textFill>
        </w:rPr>
        <w:t>项目概况</w:t>
      </w:r>
    </w:p>
    <w:p w14:paraId="2572C752">
      <w:pPr>
        <w:spacing w:line="440" w:lineRule="exact"/>
        <w:ind w:firstLine="480" w:firstLineChars="200"/>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1、项目名称：江苏大生集团信息化系统改造项目</w:t>
      </w:r>
    </w:p>
    <w:p w14:paraId="65CE95C2">
      <w:pPr>
        <w:spacing w:line="500" w:lineRule="exact"/>
        <w:ind w:firstLine="480" w:firstLineChars="200"/>
        <w:rPr>
          <w:rFonts w:ascii="宋体" w:hAnsi="宋体" w:eastAsia="宋体" w:cs="宋体"/>
        </w:rPr>
      </w:pPr>
      <w:r>
        <w:rPr>
          <w:rFonts w:hint="eastAsia" w:ascii="宋体" w:hAnsi="宋体" w:eastAsia="宋体" w:cs="宋体"/>
          <w:color w:val="000000" w:themeColor="text1"/>
          <w:kern w:val="0"/>
          <w:lang w:val="zh-CN"/>
          <w14:textFill>
            <w14:solidFill>
              <w14:schemeClr w14:val="tx1"/>
            </w14:solidFill>
          </w14:textFill>
        </w:rPr>
        <w:t>2、项目地点：江苏大生集团有限公司</w:t>
      </w:r>
    </w:p>
    <w:p w14:paraId="460DD8CF">
      <w:pPr>
        <w:spacing w:line="500" w:lineRule="exact"/>
        <w:ind w:firstLine="480" w:firstLineChars="20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3、</w:t>
      </w:r>
      <w:r>
        <w:rPr>
          <w:rFonts w:hint="eastAsia" w:ascii="宋体" w:hAnsi="宋体" w:eastAsia="宋体" w:cs="宋体"/>
          <w:color w:val="000000" w:themeColor="text1"/>
          <w:kern w:val="0"/>
          <w14:textFill>
            <w14:solidFill>
              <w14:schemeClr w14:val="tx1"/>
            </w14:solidFill>
          </w14:textFill>
        </w:rPr>
        <w:t>实施需求说明</w:t>
      </w:r>
    </w:p>
    <w:tbl>
      <w:tblPr>
        <w:tblStyle w:val="4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71"/>
        <w:gridCol w:w="1276"/>
        <w:gridCol w:w="6520"/>
      </w:tblGrid>
      <w:tr w14:paraId="3DD1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23A2387D">
            <w:pPr>
              <w:jc w:val="center"/>
              <w:textAlignment w:val="center"/>
              <w:rPr>
                <w:rFonts w:ascii="宋体" w:hAnsi="宋体" w:eastAsia="宋体" w:cs="宋体"/>
                <w:b/>
              </w:rPr>
            </w:pPr>
            <w:r>
              <w:rPr>
                <w:rFonts w:hint="eastAsia" w:ascii="宋体" w:hAnsi="宋体" w:eastAsia="宋体" w:cs="宋体"/>
                <w:b/>
              </w:rPr>
              <w:t>模块</w:t>
            </w:r>
          </w:p>
        </w:tc>
        <w:tc>
          <w:tcPr>
            <w:tcW w:w="1276" w:type="dxa"/>
            <w:shd w:val="clear" w:color="auto" w:fill="auto"/>
            <w:vAlign w:val="center"/>
          </w:tcPr>
          <w:p w14:paraId="4A83E4D5">
            <w:pPr>
              <w:jc w:val="center"/>
              <w:textAlignment w:val="center"/>
              <w:rPr>
                <w:rFonts w:ascii="宋体" w:hAnsi="宋体" w:eastAsia="宋体" w:cs="宋体"/>
                <w:b/>
              </w:rPr>
            </w:pPr>
            <w:r>
              <w:rPr>
                <w:rFonts w:hint="eastAsia" w:ascii="宋体" w:hAnsi="宋体" w:eastAsia="宋体" w:cs="宋体"/>
                <w:b/>
              </w:rPr>
              <w:t>项目</w:t>
            </w:r>
          </w:p>
        </w:tc>
        <w:tc>
          <w:tcPr>
            <w:tcW w:w="6520" w:type="dxa"/>
            <w:shd w:val="clear" w:color="auto" w:fill="auto"/>
            <w:vAlign w:val="center"/>
          </w:tcPr>
          <w:p w14:paraId="6624B32B">
            <w:pPr>
              <w:jc w:val="center"/>
              <w:textAlignment w:val="center"/>
              <w:rPr>
                <w:rFonts w:ascii="宋体" w:hAnsi="宋体" w:eastAsia="宋体" w:cs="宋体"/>
                <w:b/>
              </w:rPr>
            </w:pPr>
            <w:r>
              <w:rPr>
                <w:rFonts w:hint="eastAsia" w:ascii="宋体" w:hAnsi="宋体" w:eastAsia="宋体" w:cs="宋体"/>
                <w:b/>
              </w:rPr>
              <w:t>业务场景</w:t>
            </w:r>
          </w:p>
        </w:tc>
      </w:tr>
      <w:tr w14:paraId="72F3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578A1715">
            <w:pPr>
              <w:jc w:val="center"/>
              <w:textAlignment w:val="center"/>
              <w:rPr>
                <w:rFonts w:ascii="宋体" w:hAnsi="宋体" w:eastAsia="宋体" w:cs="宋体"/>
                <w:color w:val="000000"/>
              </w:rPr>
            </w:pPr>
            <w:r>
              <w:rPr>
                <w:rFonts w:hint="eastAsia" w:ascii="宋体" w:hAnsi="宋体" w:eastAsia="宋体" w:cs="宋体"/>
                <w:color w:val="000000"/>
              </w:rPr>
              <w:t>总体</w:t>
            </w:r>
          </w:p>
        </w:tc>
        <w:tc>
          <w:tcPr>
            <w:tcW w:w="1276" w:type="dxa"/>
            <w:shd w:val="clear" w:color="auto" w:fill="auto"/>
            <w:vAlign w:val="center"/>
          </w:tcPr>
          <w:p w14:paraId="5E4A522E">
            <w:pPr>
              <w:jc w:val="center"/>
              <w:textAlignment w:val="center"/>
              <w:rPr>
                <w:rFonts w:ascii="宋体" w:hAnsi="宋体" w:eastAsia="宋体" w:cs="宋体"/>
                <w:color w:val="000000"/>
              </w:rPr>
            </w:pPr>
            <w:r>
              <w:rPr>
                <w:rFonts w:hint="eastAsia" w:ascii="宋体" w:hAnsi="宋体" w:eastAsia="宋体" w:cs="宋体"/>
                <w:color w:val="000000"/>
              </w:rPr>
              <w:t>ERP总体要求</w:t>
            </w:r>
          </w:p>
        </w:tc>
        <w:tc>
          <w:tcPr>
            <w:tcW w:w="6520" w:type="dxa"/>
            <w:shd w:val="clear" w:color="auto" w:fill="auto"/>
          </w:tcPr>
          <w:p w14:paraId="2EF3FBED">
            <w:pPr>
              <w:jc w:val="left"/>
              <w:textAlignment w:val="top"/>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1、支持多组织制造业ERP的云应用。</w:t>
            </w:r>
          </w:p>
          <w:p w14:paraId="78121E95">
            <w:pPr>
              <w:jc w:val="left"/>
              <w:textAlignment w:val="top"/>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 xml:space="preserve">2、纯B/S架构，客户端免安装或插件安装，支持广域网、局域网应用。降低企业集团维护难度。 </w:t>
            </w:r>
          </w:p>
          <w:p w14:paraId="7936969F">
            <w:pPr>
              <w:jc w:val="left"/>
              <w:textAlignment w:val="top"/>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3、企业集团用户在任何能上互联网的地方根据权限安全访问。</w:t>
            </w:r>
          </w:p>
          <w:p w14:paraId="16EA135C">
            <w:pPr>
              <w:jc w:val="left"/>
              <w:textAlignment w:val="top"/>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4、支持工作流管理，ERP内嵌或整合工作流引擎。</w:t>
            </w:r>
          </w:p>
          <w:p w14:paraId="6A1B20E6">
            <w:pPr>
              <w:jc w:val="left"/>
              <w:textAlignment w:val="top"/>
              <w:rPr>
                <w:rFonts w:ascii="宋体" w:hAnsi="宋体" w:eastAsia="宋体" w:cs="宋体"/>
              </w:rPr>
            </w:pPr>
            <w:r>
              <w:rPr>
                <w:rFonts w:hint="eastAsia" w:ascii="宋体" w:hAnsi="宋体" w:eastAsia="宋体" w:cs="宋体"/>
                <w:color w:val="000000" w:themeColor="text1"/>
                <w:kern w:val="0"/>
                <w14:textFill>
                  <w14:solidFill>
                    <w14:schemeClr w14:val="tx1"/>
                  </w14:solidFill>
                </w14:textFill>
              </w:rPr>
              <w:t>5</w:t>
            </w:r>
            <w:r>
              <w:rPr>
                <w:rFonts w:hint="eastAsia" w:ascii="宋体" w:hAnsi="宋体" w:eastAsia="宋体" w:cs="宋体"/>
                <w:color w:val="000000" w:themeColor="text1"/>
                <w:kern w:val="0"/>
                <w:lang w:val="zh-CN"/>
                <w14:textFill>
                  <w14:solidFill>
                    <w14:schemeClr w14:val="tx1"/>
                  </w14:solidFill>
                </w14:textFill>
              </w:rPr>
              <w:t>、本次项目实施范围：大生集团及所有子分公司，总计23个单位。</w:t>
            </w:r>
          </w:p>
        </w:tc>
      </w:tr>
      <w:tr w14:paraId="003F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14:paraId="4594C700">
            <w:pPr>
              <w:jc w:val="center"/>
              <w:textAlignment w:val="center"/>
              <w:rPr>
                <w:rFonts w:ascii="宋体" w:hAnsi="宋体" w:eastAsia="宋体" w:cs="宋体"/>
                <w:color w:val="000000"/>
              </w:rPr>
            </w:pPr>
            <w:r>
              <w:rPr>
                <w:rFonts w:hint="eastAsia" w:ascii="宋体" w:hAnsi="宋体" w:eastAsia="宋体" w:cs="宋体"/>
                <w:color w:val="000000"/>
              </w:rPr>
              <w:t>s-HR 集成</w:t>
            </w:r>
          </w:p>
        </w:tc>
        <w:tc>
          <w:tcPr>
            <w:tcW w:w="1276" w:type="dxa"/>
            <w:vMerge w:val="restart"/>
            <w:shd w:val="clear" w:color="auto" w:fill="auto"/>
            <w:vAlign w:val="center"/>
          </w:tcPr>
          <w:p w14:paraId="039E05D9">
            <w:pPr>
              <w:jc w:val="center"/>
              <w:textAlignment w:val="center"/>
              <w:rPr>
                <w:rFonts w:ascii="宋体" w:hAnsi="宋体" w:eastAsia="宋体" w:cs="宋体"/>
                <w:color w:val="000000"/>
              </w:rPr>
            </w:pPr>
            <w:r>
              <w:rPr>
                <w:rFonts w:hint="eastAsia" w:ascii="宋体" w:hAnsi="宋体" w:eastAsia="宋体" w:cs="宋体"/>
                <w:color w:val="000000"/>
              </w:rPr>
              <w:t>s-HR 集成</w:t>
            </w:r>
          </w:p>
        </w:tc>
        <w:tc>
          <w:tcPr>
            <w:tcW w:w="6520" w:type="dxa"/>
            <w:shd w:val="clear" w:color="auto" w:fill="auto"/>
          </w:tcPr>
          <w:p w14:paraId="009A4CBD">
            <w:pPr>
              <w:jc w:val="left"/>
              <w:textAlignment w:val="top"/>
              <w:rPr>
                <w:rFonts w:ascii="宋体" w:hAnsi="宋体" w:eastAsia="宋体" w:cs="宋体"/>
                <w:color w:val="000000"/>
              </w:rPr>
            </w:pPr>
            <w:r>
              <w:rPr>
                <w:rFonts w:hint="eastAsia" w:ascii="宋体" w:hAnsi="宋体" w:eastAsia="宋体" w:cs="宋体"/>
                <w:b/>
                <w:bCs/>
                <w:i/>
                <w:iCs/>
                <w:u w:val="single"/>
              </w:rPr>
              <w:t>功能描述：</w:t>
            </w:r>
            <w:r>
              <w:rPr>
                <w:rFonts w:hint="eastAsia" w:ascii="宋体" w:hAnsi="宋体" w:eastAsia="宋体" w:cs="宋体"/>
                <w:color w:val="000000" w:themeColor="text1"/>
                <w:kern w:val="0"/>
                <w14:textFill>
                  <w14:solidFill>
                    <w14:schemeClr w14:val="tx1"/>
                  </w14:solidFill>
                </w14:textFill>
              </w:rPr>
              <w:t xml:space="preserve">s-HR </w:t>
            </w:r>
            <w:r>
              <w:rPr>
                <w:rFonts w:hint="eastAsia" w:ascii="宋体" w:hAnsi="宋体" w:eastAsia="宋体" w:cs="宋体"/>
                <w:color w:val="000000" w:themeColor="text1"/>
                <w:kern w:val="0"/>
                <w:lang w:val="zh-CN"/>
                <w14:textFill>
                  <w14:solidFill>
                    <w14:schemeClr w14:val="tx1"/>
                  </w14:solidFill>
                </w14:textFill>
              </w:rPr>
              <w:t>集成主要用于购买了金蝶云星空与</w:t>
            </w:r>
            <w:r>
              <w:rPr>
                <w:rFonts w:hint="eastAsia" w:ascii="宋体" w:hAnsi="宋体" w:eastAsia="宋体" w:cs="宋体"/>
                <w:color w:val="000000" w:themeColor="text1"/>
                <w:kern w:val="0"/>
                <w14:textFill>
                  <w14:solidFill>
                    <w14:schemeClr w14:val="tx1"/>
                  </w14:solidFill>
                </w14:textFill>
              </w:rPr>
              <w:t xml:space="preserve"> s-HR，</w:t>
            </w:r>
            <w:r>
              <w:rPr>
                <w:rFonts w:hint="eastAsia" w:ascii="宋体" w:hAnsi="宋体" w:eastAsia="宋体" w:cs="宋体"/>
                <w:color w:val="000000" w:themeColor="text1"/>
                <w:kern w:val="0"/>
                <w:lang w:val="zh-CN"/>
                <w14:textFill>
                  <w14:solidFill>
                    <w14:schemeClr w14:val="tx1"/>
                  </w14:solidFill>
                </w14:textFill>
              </w:rPr>
              <w:t>并需要集成的客户。通过 s-HR 集成， 可以实现 s-HR 相关基础数据、薪资数据发放结果的数据同步，从 s-HR 定时自动同步到金 蝶云星空，进而保持组织部门、岗位、员工基础资料的统一，以及人力资源薪酬管理人员 完成薪资核算后，可以快速将薪资核算结果结转至财务总账系统，最终生成相应的财务费 用凭证及其他相关业务凭证。保障整个金蝶云星空业务系统的信息流连贯通畅，及全程的 自动化处理。</w:t>
            </w:r>
          </w:p>
        </w:tc>
      </w:tr>
      <w:tr w14:paraId="6A0F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14:paraId="4607773E">
            <w:pPr>
              <w:jc w:val="center"/>
              <w:textAlignment w:val="center"/>
              <w:rPr>
                <w:rFonts w:ascii="宋体" w:hAnsi="宋体" w:eastAsia="宋体" w:cs="宋体"/>
                <w:color w:val="000000"/>
              </w:rPr>
            </w:pPr>
          </w:p>
        </w:tc>
        <w:tc>
          <w:tcPr>
            <w:tcW w:w="1276" w:type="dxa"/>
            <w:vMerge w:val="continue"/>
            <w:shd w:val="clear" w:color="auto" w:fill="auto"/>
            <w:vAlign w:val="center"/>
          </w:tcPr>
          <w:p w14:paraId="0BE2E4DB">
            <w:pPr>
              <w:jc w:val="center"/>
              <w:textAlignment w:val="center"/>
              <w:rPr>
                <w:rFonts w:ascii="宋体" w:hAnsi="宋体" w:eastAsia="宋体" w:cs="宋体"/>
                <w:color w:val="000000"/>
              </w:rPr>
            </w:pPr>
          </w:p>
        </w:tc>
        <w:tc>
          <w:tcPr>
            <w:tcW w:w="6520" w:type="dxa"/>
            <w:shd w:val="clear" w:color="auto" w:fill="auto"/>
          </w:tcPr>
          <w:p w14:paraId="2C73D148">
            <w:pPr>
              <w:jc w:val="left"/>
              <w:textAlignment w:val="top"/>
              <w:rPr>
                <w:rFonts w:ascii="宋体" w:hAnsi="宋体" w:eastAsia="宋体" w:cs="宋体"/>
                <w:b/>
                <w:bCs/>
                <w:i/>
                <w:iCs/>
                <w:color w:val="000000"/>
                <w:u w:val="single"/>
              </w:rPr>
            </w:pPr>
            <w:r>
              <w:rPr>
                <w:rFonts w:hint="eastAsia" w:ascii="宋体" w:hAnsi="宋体" w:eastAsia="宋体" w:cs="宋体"/>
                <w:b/>
                <w:bCs/>
                <w:i/>
                <w:iCs/>
                <w:color w:val="000000"/>
                <w:u w:val="single"/>
              </w:rPr>
              <w:t>主要功能：</w:t>
            </w:r>
          </w:p>
          <w:p w14:paraId="0434ED8C">
            <w:pPr>
              <w:jc w:val="left"/>
              <w:textAlignment w:val="top"/>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1、银行代发单：同步薪酬数据形成银行代发单</w:t>
            </w:r>
            <w:r>
              <w:rPr>
                <w:rFonts w:hint="eastAsia" w:ascii="宋体" w:hAnsi="宋体" w:eastAsia="宋体" w:cs="宋体"/>
                <w:color w:val="000000" w:themeColor="text1"/>
                <w:kern w:val="0"/>
                <w:lang w:val="zh-CN"/>
                <w14:textFill>
                  <w14:solidFill>
                    <w14:schemeClr w14:val="tx1"/>
                  </w14:solidFill>
                </w14:textFill>
              </w:rPr>
              <w:t>。</w:t>
            </w:r>
          </w:p>
          <w:p w14:paraId="4F927605">
            <w:pPr>
              <w:jc w:val="left"/>
              <w:textAlignment w:val="top"/>
              <w:rPr>
                <w:rFonts w:ascii="宋体" w:hAnsi="宋体" w:eastAsia="宋体" w:cs="宋体"/>
              </w:rPr>
            </w:pPr>
            <w:r>
              <w:rPr>
                <w:rFonts w:hint="eastAsia" w:ascii="宋体" w:hAnsi="宋体" w:eastAsia="宋体" w:cs="宋体"/>
                <w:color w:val="000000" w:themeColor="text1"/>
                <w:kern w:val="0"/>
                <w14:textFill>
                  <w14:solidFill>
                    <w14:schemeClr w14:val="tx1"/>
                  </w14:solidFill>
                </w14:textFill>
              </w:rPr>
              <w:t>2、凭证数据：同步凭证数据，形成相关凭证</w:t>
            </w:r>
          </w:p>
        </w:tc>
      </w:tr>
      <w:tr w14:paraId="492A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14:paraId="18FFDDE2">
            <w:pPr>
              <w:jc w:val="center"/>
              <w:textAlignment w:val="center"/>
              <w:rPr>
                <w:rFonts w:ascii="宋体" w:hAnsi="宋体" w:eastAsia="宋体" w:cs="宋体"/>
                <w:color w:val="000000"/>
              </w:rPr>
            </w:pPr>
            <w:r>
              <w:rPr>
                <w:rFonts w:hint="eastAsia" w:ascii="宋体" w:hAnsi="宋体" w:eastAsia="宋体" w:cs="宋体"/>
                <w:color w:val="000000"/>
              </w:rPr>
              <w:t>云之家集成</w:t>
            </w:r>
          </w:p>
        </w:tc>
        <w:tc>
          <w:tcPr>
            <w:tcW w:w="1276" w:type="dxa"/>
            <w:vMerge w:val="restart"/>
            <w:shd w:val="clear" w:color="auto" w:fill="auto"/>
            <w:vAlign w:val="center"/>
          </w:tcPr>
          <w:p w14:paraId="2F2F9E0D">
            <w:pPr>
              <w:jc w:val="center"/>
              <w:textAlignment w:val="center"/>
              <w:rPr>
                <w:rFonts w:ascii="宋体" w:hAnsi="宋体" w:eastAsia="宋体" w:cs="宋体"/>
                <w:color w:val="000000"/>
              </w:rPr>
            </w:pPr>
            <w:r>
              <w:rPr>
                <w:rFonts w:hint="eastAsia" w:ascii="宋体" w:hAnsi="宋体" w:eastAsia="宋体" w:cs="宋体"/>
                <w:color w:val="000000"/>
              </w:rPr>
              <w:t>云之家集成</w:t>
            </w:r>
          </w:p>
        </w:tc>
        <w:tc>
          <w:tcPr>
            <w:tcW w:w="6520" w:type="dxa"/>
            <w:shd w:val="clear" w:color="auto" w:fill="auto"/>
          </w:tcPr>
          <w:p w14:paraId="5682384D">
            <w:pPr>
              <w:jc w:val="left"/>
              <w:textAlignment w:val="top"/>
              <w:rPr>
                <w:rFonts w:ascii="宋体" w:hAnsi="宋体" w:eastAsia="宋体" w:cs="宋体"/>
                <w:color w:val="000000"/>
              </w:rPr>
            </w:pPr>
            <w:r>
              <w:rPr>
                <w:rFonts w:hint="eastAsia" w:ascii="宋体" w:hAnsi="宋体" w:eastAsia="宋体" w:cs="宋体"/>
                <w:b/>
                <w:bCs/>
                <w:i/>
                <w:iCs/>
                <w:u w:val="single"/>
              </w:rPr>
              <w:t>功能描述：</w:t>
            </w:r>
            <w:r>
              <w:rPr>
                <w:rFonts w:hint="eastAsia" w:ascii="宋体" w:hAnsi="宋体" w:eastAsia="宋体" w:cs="宋体"/>
                <w:color w:val="000000"/>
              </w:rPr>
              <w:t>金蝶云移动轻应用使得客户能够充分利用碎片化时间移动办公，加快企业的经营决策和信息流转，给企业带来很大的效益。越来越多的金蝶云用户非常乐意 使用云之家轻应用。</w:t>
            </w:r>
          </w:p>
        </w:tc>
      </w:tr>
      <w:tr w14:paraId="69AF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14:paraId="45A71D3A">
            <w:pPr>
              <w:jc w:val="center"/>
              <w:textAlignment w:val="center"/>
              <w:rPr>
                <w:rFonts w:ascii="宋体" w:hAnsi="宋体" w:eastAsia="宋体" w:cs="宋体"/>
                <w:color w:val="000000"/>
              </w:rPr>
            </w:pPr>
          </w:p>
        </w:tc>
        <w:tc>
          <w:tcPr>
            <w:tcW w:w="1276" w:type="dxa"/>
            <w:vMerge w:val="continue"/>
            <w:shd w:val="clear" w:color="auto" w:fill="auto"/>
            <w:vAlign w:val="center"/>
          </w:tcPr>
          <w:p w14:paraId="2FE047B8">
            <w:pPr>
              <w:jc w:val="center"/>
              <w:textAlignment w:val="center"/>
              <w:rPr>
                <w:rFonts w:ascii="宋体" w:hAnsi="宋体" w:eastAsia="宋体" w:cs="宋体"/>
                <w:color w:val="000000"/>
              </w:rPr>
            </w:pPr>
          </w:p>
        </w:tc>
        <w:tc>
          <w:tcPr>
            <w:tcW w:w="6520" w:type="dxa"/>
            <w:shd w:val="clear" w:color="auto" w:fill="auto"/>
          </w:tcPr>
          <w:p w14:paraId="557676B1">
            <w:pPr>
              <w:jc w:val="left"/>
              <w:textAlignment w:val="top"/>
              <w:rPr>
                <w:rFonts w:ascii="宋体" w:hAnsi="宋体" w:eastAsia="宋体" w:cs="宋体"/>
                <w:color w:val="000000"/>
              </w:rPr>
            </w:pPr>
            <w:r>
              <w:rPr>
                <w:rFonts w:hint="eastAsia" w:ascii="宋体" w:hAnsi="宋体" w:eastAsia="宋体" w:cs="宋体"/>
                <w:b/>
                <w:bCs/>
                <w:i/>
                <w:iCs/>
                <w:color w:val="000000"/>
                <w:u w:val="single"/>
              </w:rPr>
              <w:t>主要功能：</w:t>
            </w:r>
            <w:r>
              <w:rPr>
                <w:rFonts w:hint="eastAsia" w:ascii="宋体" w:hAnsi="宋体" w:eastAsia="宋体" w:cs="宋体"/>
                <w:color w:val="000000"/>
              </w:rPr>
              <w:t>云之家集成配置、同步云之家用户、用户映射关系、同步用户到云之家。</w:t>
            </w:r>
          </w:p>
        </w:tc>
      </w:tr>
      <w:tr w14:paraId="08FD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14:paraId="2BA28560">
            <w:pPr>
              <w:jc w:val="center"/>
              <w:textAlignment w:val="center"/>
              <w:rPr>
                <w:rFonts w:ascii="宋体" w:hAnsi="宋体" w:eastAsia="宋体" w:cs="宋体"/>
                <w:color w:val="000000"/>
              </w:rPr>
            </w:pPr>
            <w:r>
              <w:rPr>
                <w:rFonts w:hint="eastAsia" w:ascii="宋体" w:hAnsi="宋体" w:eastAsia="宋体" w:cs="宋体"/>
                <w:color w:val="000000"/>
              </w:rPr>
              <w:t>接口方式</w:t>
            </w:r>
          </w:p>
        </w:tc>
        <w:tc>
          <w:tcPr>
            <w:tcW w:w="1276" w:type="dxa"/>
            <w:shd w:val="clear" w:color="auto" w:fill="auto"/>
            <w:vAlign w:val="center"/>
          </w:tcPr>
          <w:p w14:paraId="186B5685">
            <w:pPr>
              <w:jc w:val="center"/>
              <w:textAlignment w:val="center"/>
              <w:rPr>
                <w:rFonts w:ascii="宋体" w:hAnsi="宋体" w:eastAsia="宋体" w:cs="宋体"/>
                <w:color w:val="000000"/>
              </w:rPr>
            </w:pPr>
            <w:r>
              <w:rPr>
                <w:rFonts w:hint="eastAsia" w:ascii="宋体" w:hAnsi="宋体" w:eastAsia="宋体" w:cs="宋体"/>
                <w:color w:val="000000"/>
              </w:rPr>
              <w:t>API中心</w:t>
            </w:r>
          </w:p>
        </w:tc>
        <w:tc>
          <w:tcPr>
            <w:tcW w:w="6520" w:type="dxa"/>
            <w:shd w:val="clear" w:color="auto" w:fill="auto"/>
          </w:tcPr>
          <w:p w14:paraId="262428A8">
            <w:pPr>
              <w:jc w:val="left"/>
              <w:textAlignment w:val="top"/>
              <w:rPr>
                <w:rFonts w:ascii="宋体" w:hAnsi="宋体" w:eastAsia="宋体" w:cs="宋体"/>
                <w:color w:val="000000"/>
              </w:rPr>
            </w:pPr>
            <w:r>
              <w:rPr>
                <w:rFonts w:hint="eastAsia" w:ascii="宋体" w:hAnsi="宋体" w:eastAsia="宋体" w:cs="宋体"/>
                <w:color w:val="000000"/>
              </w:rPr>
              <w:t>金蝶云星空 API 中心提供了 API 接口文档、在线测试、操作指南和 SDK 下载，赋能开</w:t>
            </w:r>
          </w:p>
          <w:p w14:paraId="5B13E9A3">
            <w:pPr>
              <w:jc w:val="left"/>
              <w:textAlignment w:val="top"/>
              <w:rPr>
                <w:rFonts w:ascii="宋体" w:hAnsi="宋体" w:eastAsia="宋体" w:cs="宋体"/>
                <w:color w:val="000000"/>
              </w:rPr>
            </w:pPr>
            <w:r>
              <w:rPr>
                <w:rFonts w:hint="eastAsia" w:ascii="宋体" w:hAnsi="宋体" w:eastAsia="宋体" w:cs="宋体"/>
                <w:color w:val="000000"/>
              </w:rPr>
              <w:t>发者快速入门，实现一站式的第三方集成便捷体验。</w:t>
            </w:r>
          </w:p>
        </w:tc>
      </w:tr>
      <w:tr w14:paraId="1706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14:paraId="4EE502AA">
            <w:pPr>
              <w:jc w:val="center"/>
              <w:textAlignment w:val="center"/>
              <w:rPr>
                <w:rFonts w:ascii="宋体" w:hAnsi="宋体" w:eastAsia="宋体" w:cs="宋体"/>
                <w:color w:val="000000"/>
              </w:rPr>
            </w:pPr>
          </w:p>
        </w:tc>
        <w:tc>
          <w:tcPr>
            <w:tcW w:w="1276" w:type="dxa"/>
            <w:shd w:val="clear" w:color="auto" w:fill="auto"/>
            <w:vAlign w:val="center"/>
          </w:tcPr>
          <w:p w14:paraId="3B6F5324">
            <w:pPr>
              <w:jc w:val="center"/>
              <w:textAlignment w:val="center"/>
              <w:rPr>
                <w:rFonts w:ascii="宋体" w:hAnsi="宋体" w:eastAsia="宋体" w:cs="宋体"/>
                <w:color w:val="000000"/>
              </w:rPr>
            </w:pPr>
          </w:p>
        </w:tc>
        <w:tc>
          <w:tcPr>
            <w:tcW w:w="6520" w:type="dxa"/>
            <w:shd w:val="clear" w:color="auto" w:fill="auto"/>
          </w:tcPr>
          <w:p w14:paraId="13E3EF6A">
            <w:pPr>
              <w:jc w:val="left"/>
              <w:textAlignment w:val="top"/>
              <w:rPr>
                <w:rFonts w:ascii="宋体" w:hAnsi="宋体" w:eastAsia="宋体" w:cs="宋体"/>
                <w:color w:val="000000"/>
              </w:rPr>
            </w:pPr>
            <w:r>
              <w:rPr>
                <w:rFonts w:hint="eastAsia" w:ascii="宋体" w:hAnsi="宋体" w:eastAsia="宋体" w:cs="宋体"/>
                <w:color w:val="000000"/>
              </w:rPr>
              <w:t>金蝶云•星空的WebAPI是一种轻量级的、可维护的、可伸缩的 Web 服务。采用HTTP+JSON，也就是用RESTful的方式来开发。使用.NET Framework 4.0为开发平台，源代码使用C#编写。整个框架由三个组装件组成。</w:t>
            </w:r>
          </w:p>
          <w:p w14:paraId="7495D753">
            <w:pPr>
              <w:jc w:val="left"/>
              <w:textAlignment w:val="top"/>
              <w:rPr>
                <w:rFonts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rPr>
              <w:tab/>
            </w:r>
            <w:r>
              <w:rPr>
                <w:rFonts w:hint="eastAsia" w:ascii="宋体" w:hAnsi="宋体" w:eastAsia="宋体" w:cs="宋体"/>
                <w:color w:val="000000"/>
              </w:rPr>
              <w:t>Kingdee.BOS.WebApi.FormService.dll</w:t>
            </w:r>
          </w:p>
          <w:p w14:paraId="31D0962E">
            <w:pPr>
              <w:jc w:val="left"/>
              <w:textAlignment w:val="top"/>
              <w:rPr>
                <w:rFonts w:ascii="宋体" w:hAnsi="宋体" w:eastAsia="宋体" w:cs="宋体"/>
                <w:color w:val="000000"/>
              </w:rPr>
            </w:pPr>
            <w:r>
              <w:rPr>
                <w:rFonts w:hint="eastAsia" w:ascii="宋体" w:hAnsi="宋体" w:eastAsia="宋体" w:cs="宋体"/>
                <w:color w:val="000000"/>
              </w:rPr>
              <w:t>此组装件包含WebAPI主要接口的功能实现。部署在应用层服务器。</w:t>
            </w:r>
          </w:p>
          <w:p w14:paraId="10F23F50">
            <w:pPr>
              <w:jc w:val="left"/>
              <w:textAlignment w:val="top"/>
              <w:rPr>
                <w:rFonts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rPr>
              <w:tab/>
            </w:r>
            <w:r>
              <w:rPr>
                <w:rFonts w:hint="eastAsia" w:ascii="宋体" w:hAnsi="宋体" w:eastAsia="宋体" w:cs="宋体"/>
                <w:color w:val="000000"/>
              </w:rPr>
              <w:t>Kingdee.BOS.WebApi.ServicesStub.dll</w:t>
            </w:r>
          </w:p>
          <w:p w14:paraId="156E1328">
            <w:pPr>
              <w:jc w:val="left"/>
              <w:textAlignment w:val="top"/>
              <w:rPr>
                <w:rFonts w:ascii="宋体" w:hAnsi="宋体" w:eastAsia="宋体" w:cs="宋体"/>
                <w:color w:val="000000"/>
              </w:rPr>
            </w:pPr>
            <w:r>
              <w:rPr>
                <w:rFonts w:hint="eastAsia" w:ascii="宋体" w:hAnsi="宋体" w:eastAsia="宋体" w:cs="宋体"/>
                <w:color w:val="000000"/>
              </w:rPr>
              <w:t>此组装件主要包含WebAPI接口定义，扩展接口定义以及登陆验证接口。部署在应用层服务器。</w:t>
            </w:r>
          </w:p>
          <w:p w14:paraId="4669A9E2">
            <w:pPr>
              <w:jc w:val="left"/>
              <w:textAlignment w:val="top"/>
              <w:rPr>
                <w:rFonts w:ascii="宋体" w:hAnsi="宋体" w:eastAsia="宋体" w:cs="宋体"/>
                <w:color w:val="000000"/>
              </w:rPr>
            </w:pPr>
            <w:r>
              <w:rPr>
                <w:rFonts w:hint="eastAsia" w:ascii="宋体" w:hAnsi="宋体" w:eastAsia="宋体" w:cs="宋体"/>
                <w:color w:val="000000"/>
              </w:rPr>
              <w:t>（3）</w:t>
            </w:r>
            <w:r>
              <w:rPr>
                <w:rFonts w:hint="eastAsia" w:ascii="宋体" w:hAnsi="宋体" w:eastAsia="宋体" w:cs="宋体"/>
                <w:color w:val="000000"/>
              </w:rPr>
              <w:tab/>
            </w:r>
            <w:r>
              <w:rPr>
                <w:rFonts w:hint="eastAsia" w:ascii="宋体" w:hAnsi="宋体" w:eastAsia="宋体" w:cs="宋体"/>
                <w:color w:val="000000"/>
              </w:rPr>
              <w:t>Kingdee.BOS.WebApi.Client.dll</w:t>
            </w:r>
          </w:p>
          <w:p w14:paraId="38D3A4F5">
            <w:pPr>
              <w:jc w:val="left"/>
              <w:textAlignment w:val="top"/>
              <w:rPr>
                <w:rFonts w:ascii="宋体" w:hAnsi="宋体" w:eastAsia="宋体" w:cs="宋体"/>
                <w:color w:val="000000"/>
              </w:rPr>
            </w:pPr>
            <w:r>
              <w:rPr>
                <w:rFonts w:hint="eastAsia" w:ascii="宋体" w:hAnsi="宋体" w:eastAsia="宋体" w:cs="宋体"/>
                <w:color w:val="000000"/>
              </w:rPr>
              <w:t>此组装件为WebAPI的客户端组件，封装了一些在异构系统客户端访问WebAPI的方法，适用于C#程序调用。由于它应用于异构系统客户端，所以此组装件需要拷贝到异构系统客户端环境中。非C#程序调用可以不用拷贝。</w:t>
            </w:r>
          </w:p>
        </w:tc>
      </w:tr>
      <w:tr w14:paraId="0DCF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14:paraId="1EBC77B3">
            <w:pPr>
              <w:jc w:val="center"/>
              <w:textAlignment w:val="center"/>
              <w:rPr>
                <w:rFonts w:ascii="宋体" w:hAnsi="宋体" w:eastAsia="宋体" w:cs="宋体"/>
                <w:color w:val="000000"/>
              </w:rPr>
            </w:pPr>
            <w:r>
              <w:rPr>
                <w:rFonts w:hint="eastAsia" w:ascii="宋体" w:hAnsi="宋体" w:eastAsia="宋体" w:cs="宋体"/>
                <w:color w:val="000000"/>
              </w:rPr>
              <w:t>s-HR组织人事</w:t>
            </w:r>
          </w:p>
        </w:tc>
        <w:tc>
          <w:tcPr>
            <w:tcW w:w="1276" w:type="dxa"/>
            <w:shd w:val="clear" w:color="auto" w:fill="auto"/>
            <w:vAlign w:val="center"/>
          </w:tcPr>
          <w:p w14:paraId="723420B3">
            <w:pPr>
              <w:jc w:val="center"/>
              <w:textAlignment w:val="center"/>
              <w:rPr>
                <w:rFonts w:ascii="宋体" w:hAnsi="宋体" w:eastAsia="宋体" w:cs="宋体"/>
                <w:color w:val="000000"/>
              </w:rPr>
            </w:pPr>
            <w:r>
              <w:rPr>
                <w:rFonts w:hint="eastAsia" w:ascii="宋体" w:hAnsi="宋体" w:eastAsia="宋体" w:cs="宋体"/>
                <w:color w:val="000000"/>
              </w:rPr>
              <w:t>s-HR组织管理</w:t>
            </w:r>
          </w:p>
        </w:tc>
        <w:tc>
          <w:tcPr>
            <w:tcW w:w="6520" w:type="dxa"/>
            <w:shd w:val="clear" w:color="auto" w:fill="auto"/>
          </w:tcPr>
          <w:p w14:paraId="2E9FA3DA">
            <w:pPr>
              <w:jc w:val="left"/>
              <w:textAlignment w:val="top"/>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rPr>
              <w:t>行政组织管理可实现行政组织和职位的初始化导入、日常维护、行政组织调整，职务体系的搭建，多维编制管理、编制需求申请的发起等。</w:t>
            </w:r>
          </w:p>
          <w:p w14:paraId="1813907F">
            <w:pPr>
              <w:jc w:val="left"/>
              <w:textAlignment w:val="top"/>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1、</w:t>
            </w:r>
            <w:r>
              <w:rPr>
                <w:rFonts w:hint="default" w:ascii="宋体" w:hAnsi="宋体" w:eastAsia="宋体" w:cs="宋体"/>
                <w:color w:val="000000" w:themeColor="text1"/>
                <w:kern w:val="0"/>
                <w:lang w:val="en-US" w:eastAsia="zh-CN"/>
                <w14:textFill>
                  <w14:solidFill>
                    <w14:schemeClr w14:val="tx1"/>
                  </w14:solidFill>
                </w14:textFill>
              </w:rPr>
              <w:t>人事组织架构细化到班组，按照职能部门搭建</w:t>
            </w:r>
            <w:r>
              <w:rPr>
                <w:rFonts w:hint="eastAsia" w:ascii="宋体" w:hAnsi="宋体" w:eastAsia="宋体" w:cs="宋体"/>
                <w:color w:val="000000" w:themeColor="text1"/>
                <w:kern w:val="0"/>
                <w:lang w:val="en-US" w:eastAsia="zh-CN"/>
                <w14:textFill>
                  <w14:solidFill>
                    <w14:schemeClr w14:val="tx1"/>
                  </w14:solidFill>
                </w14:textFill>
              </w:rPr>
              <w:t>。（支持多层级、跨省组织架构，不少于四个层级。）</w:t>
            </w:r>
          </w:p>
          <w:p w14:paraId="2438A0D9">
            <w:pPr>
              <w:jc w:val="left"/>
              <w:textAlignment w:val="top"/>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2、</w:t>
            </w:r>
            <w:r>
              <w:rPr>
                <w:rFonts w:hint="default" w:ascii="宋体" w:hAnsi="宋体" w:eastAsia="宋体" w:cs="宋体"/>
                <w:color w:val="000000" w:themeColor="text1"/>
                <w:kern w:val="0"/>
                <w:lang w:val="en-US" w:eastAsia="zh-CN"/>
                <w14:textFill>
                  <w14:solidFill>
                    <w14:schemeClr w14:val="tx1"/>
                  </w14:solidFill>
                </w14:textFill>
              </w:rPr>
              <w:t>定员定编：</w:t>
            </w:r>
            <w:r>
              <w:rPr>
                <w:rFonts w:hint="eastAsia" w:ascii="宋体" w:hAnsi="宋体" w:eastAsia="宋体" w:cs="宋体"/>
                <w:color w:val="000000" w:themeColor="text1"/>
                <w:kern w:val="0"/>
                <w:lang w:val="en-US" w:eastAsia="zh-CN"/>
                <w14:textFill>
                  <w14:solidFill>
                    <w14:schemeClr w14:val="tx1"/>
                  </w14:solidFill>
                </w14:textFill>
              </w:rPr>
              <w:t>可查询每位员工岗位标准、薪酬标准、绩效考核指标、考核细则；支持各部门定编对标对比分析。</w:t>
            </w:r>
          </w:p>
          <w:p w14:paraId="2B3F6227">
            <w:pPr>
              <w:jc w:val="left"/>
              <w:textAlignment w:val="top"/>
              <w:rPr>
                <w:rFonts w:ascii="宋体" w:hAnsi="宋体" w:eastAsia="宋体" w:cs="宋体"/>
                <w:color w:val="000000"/>
              </w:rPr>
            </w:pPr>
            <w:r>
              <w:rPr>
                <w:rFonts w:hint="eastAsia" w:ascii="宋体" w:hAnsi="宋体" w:eastAsia="宋体" w:cs="宋体"/>
                <w:color w:val="000000" w:themeColor="text1"/>
                <w:kern w:val="0"/>
                <w:lang w:val="en-US" w:eastAsia="zh-CN"/>
                <w14:textFill>
                  <w14:solidFill>
                    <w14:schemeClr w14:val="tx1"/>
                  </w14:solidFill>
                </w14:textFill>
              </w:rPr>
              <w:t>3、</w:t>
            </w:r>
            <w:r>
              <w:rPr>
                <w:rFonts w:hint="default" w:ascii="宋体" w:hAnsi="宋体" w:eastAsia="宋体" w:cs="宋体"/>
                <w:color w:val="000000" w:themeColor="text1"/>
                <w:kern w:val="0"/>
                <w:lang w:val="en-US" w:eastAsia="zh-CN"/>
                <w14:textFill>
                  <w14:solidFill>
                    <w14:schemeClr w14:val="tx1"/>
                  </w14:solidFill>
                </w14:textFill>
              </w:rPr>
              <w:t>岗位分类：常日班、技术员工、管理人员等，</w:t>
            </w:r>
            <w:r>
              <w:rPr>
                <w:rFonts w:hint="eastAsia" w:ascii="宋体" w:hAnsi="宋体" w:eastAsia="宋体" w:cs="宋体"/>
                <w:color w:val="000000" w:themeColor="text1"/>
                <w:kern w:val="0"/>
                <w:lang w:val="en-US" w:eastAsia="zh-CN"/>
                <w14:textFill>
                  <w14:solidFill>
                    <w14:schemeClr w14:val="tx1"/>
                  </w14:solidFill>
                </w14:textFill>
              </w:rPr>
              <w:t>每位员工设置岗位分类、岗位工种，员工薪酬结算按计件员工、计时员工、计件计时员工、管理人员等分别设置薪酬结算方式。</w:t>
            </w:r>
          </w:p>
        </w:tc>
      </w:tr>
      <w:tr w14:paraId="6723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14:paraId="4D899E38">
            <w:pPr>
              <w:jc w:val="center"/>
              <w:textAlignment w:val="center"/>
              <w:rPr>
                <w:rFonts w:ascii="宋体" w:hAnsi="宋体" w:eastAsia="宋体" w:cs="宋体"/>
                <w:color w:val="000000"/>
              </w:rPr>
            </w:pPr>
          </w:p>
        </w:tc>
        <w:tc>
          <w:tcPr>
            <w:tcW w:w="1276" w:type="dxa"/>
            <w:shd w:val="clear" w:color="auto" w:fill="auto"/>
            <w:vAlign w:val="center"/>
          </w:tcPr>
          <w:p w14:paraId="3E323E16">
            <w:pPr>
              <w:jc w:val="center"/>
              <w:textAlignment w:val="center"/>
              <w:rPr>
                <w:rFonts w:ascii="宋体" w:hAnsi="宋体" w:eastAsia="宋体" w:cs="宋体"/>
                <w:color w:val="000000"/>
              </w:rPr>
            </w:pPr>
            <w:r>
              <w:rPr>
                <w:rFonts w:hint="eastAsia" w:ascii="宋体" w:hAnsi="宋体" w:eastAsia="宋体" w:cs="宋体"/>
                <w:color w:val="000000"/>
              </w:rPr>
              <w:t>s-HR员工管理</w:t>
            </w:r>
          </w:p>
        </w:tc>
        <w:tc>
          <w:tcPr>
            <w:tcW w:w="6520" w:type="dxa"/>
            <w:shd w:val="clear" w:color="auto" w:fill="auto"/>
          </w:tcPr>
          <w:p w14:paraId="556DD048">
            <w:pPr>
              <w:jc w:val="left"/>
              <w:textAlignment w:val="top"/>
              <w:rPr>
                <w:rFonts w:ascii="宋体" w:hAnsi="宋体" w:eastAsia="宋体" w:cs="宋体"/>
                <w:color w:val="000000"/>
              </w:rPr>
            </w:pPr>
            <w:r>
              <w:rPr>
                <w:rFonts w:hint="eastAsia" w:ascii="宋体" w:hAnsi="宋体" w:eastAsia="宋体" w:cs="宋体"/>
                <w:color w:val="000000"/>
              </w:rPr>
              <w:t>员工人数初始化、员工信息日常维护、员工全生命周期管理、员工人事事务处理、合同管理及员工明细查询和统计分析报表。</w:t>
            </w:r>
          </w:p>
          <w:p w14:paraId="29D11670">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1、员工培训：培训台账、培训记录上传、培训积分等。</w:t>
            </w:r>
          </w:p>
          <w:p w14:paraId="00CAA4CC">
            <w:pPr>
              <w:jc w:val="left"/>
              <w:textAlignment w:val="top"/>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2、</w:t>
            </w:r>
            <w:r>
              <w:rPr>
                <w:rFonts w:hint="default" w:ascii="宋体" w:hAnsi="宋体" w:eastAsia="宋体" w:cs="宋体"/>
                <w:color w:val="000000" w:themeColor="text1"/>
                <w:kern w:val="0"/>
                <w:lang w:val="en-US" w:eastAsia="zh-CN"/>
                <w14:textFill>
                  <w14:solidFill>
                    <w14:schemeClr w14:val="tx1"/>
                  </w14:solidFill>
                </w14:textFill>
              </w:rPr>
              <w:t>HR维护</w:t>
            </w:r>
            <w:r>
              <w:rPr>
                <w:rFonts w:hint="eastAsia" w:ascii="宋体" w:hAnsi="宋体" w:eastAsia="宋体" w:cs="宋体"/>
                <w:color w:val="000000" w:themeColor="text1"/>
                <w:kern w:val="0"/>
                <w:lang w:val="en-US" w:eastAsia="zh-CN"/>
                <w14:textFill>
                  <w14:solidFill>
                    <w14:schemeClr w14:val="tx1"/>
                  </w14:solidFill>
                </w14:textFill>
              </w:rPr>
              <w:t>：员工档案信息维护、劳动合同管理维护、员工入职离职维护、员工住宿信息维护、员工工作服尺码维护等。</w:t>
            </w:r>
          </w:p>
          <w:p w14:paraId="4AFB3072">
            <w:pPr>
              <w:jc w:val="left"/>
              <w:textAlignment w:val="top"/>
              <w:rPr>
                <w:rFonts w:ascii="宋体" w:hAnsi="宋体" w:eastAsia="宋体" w:cs="宋体"/>
                <w:color w:val="FF0000"/>
              </w:rPr>
            </w:pPr>
            <w:r>
              <w:rPr>
                <w:rFonts w:hint="eastAsia" w:ascii="宋体" w:hAnsi="宋体" w:eastAsia="宋体" w:cs="宋体"/>
                <w:color w:val="000000" w:themeColor="text1"/>
                <w:kern w:val="0"/>
                <w:lang w:val="en-US" w:eastAsia="zh-CN"/>
                <w14:textFill>
                  <w14:solidFill>
                    <w14:schemeClr w14:val="tx1"/>
                  </w14:solidFill>
                </w14:textFill>
              </w:rPr>
              <w:t>3、</w:t>
            </w:r>
            <w:r>
              <w:rPr>
                <w:rFonts w:hint="default" w:ascii="宋体" w:hAnsi="宋体" w:eastAsia="宋体" w:cs="宋体"/>
                <w:color w:val="000000" w:themeColor="text1"/>
                <w:kern w:val="0"/>
                <w:lang w:val="en-US" w:eastAsia="zh-CN"/>
                <w14:textFill>
                  <w14:solidFill>
                    <w14:schemeClr w14:val="tx1"/>
                  </w14:solidFill>
                </w14:textFill>
              </w:rPr>
              <w:t xml:space="preserve">员工信息中自定义： </w:t>
            </w:r>
            <w:r>
              <w:rPr>
                <w:rFonts w:hint="eastAsia" w:ascii="宋体" w:hAnsi="宋体" w:eastAsia="宋体" w:cs="宋体"/>
                <w:color w:val="000000" w:themeColor="text1"/>
                <w:kern w:val="0"/>
                <w:lang w:val="en-US" w:eastAsia="zh-CN"/>
                <w14:textFill>
                  <w14:solidFill>
                    <w14:schemeClr w14:val="tx1"/>
                  </w14:solidFill>
                </w14:textFill>
              </w:rPr>
              <w:t>虚拟集团本部数据信息管理，</w:t>
            </w:r>
            <w:r>
              <w:rPr>
                <w:rFonts w:hint="default" w:ascii="宋体" w:hAnsi="宋体" w:eastAsia="宋体" w:cs="宋体"/>
                <w:color w:val="000000" w:themeColor="text1"/>
                <w:kern w:val="0"/>
                <w:lang w:val="en-US" w:eastAsia="zh-CN"/>
                <w14:textFill>
                  <w14:solidFill>
                    <w14:schemeClr w14:val="tx1"/>
                  </w14:solidFill>
                </w14:textFill>
              </w:rPr>
              <w:t>维护人员身份、纳税法人单位等，满足报表输出</w:t>
            </w:r>
            <w:r>
              <w:rPr>
                <w:rFonts w:hint="eastAsia" w:ascii="宋体" w:hAnsi="宋体" w:eastAsia="宋体" w:cs="宋体"/>
                <w:color w:val="000000" w:themeColor="text1"/>
                <w:kern w:val="0"/>
                <w:lang w:val="en-US" w:eastAsia="zh-CN"/>
                <w14:textFill>
                  <w14:solidFill>
                    <w14:schemeClr w14:val="tx1"/>
                  </w14:solidFill>
                </w14:textFill>
              </w:rPr>
              <w:t>。</w:t>
            </w:r>
          </w:p>
        </w:tc>
      </w:tr>
      <w:tr w14:paraId="690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5F8EBB91">
            <w:pPr>
              <w:jc w:val="center"/>
              <w:textAlignment w:val="center"/>
              <w:rPr>
                <w:rFonts w:ascii="宋体" w:hAnsi="宋体" w:eastAsia="宋体" w:cs="宋体"/>
                <w:color w:val="000000"/>
              </w:rPr>
            </w:pPr>
            <w:r>
              <w:rPr>
                <w:rFonts w:hint="eastAsia" w:ascii="宋体" w:hAnsi="宋体" w:eastAsia="宋体" w:cs="宋体"/>
                <w:color w:val="000000"/>
              </w:rPr>
              <w:t>s-HR薪酬福利</w:t>
            </w:r>
          </w:p>
        </w:tc>
        <w:tc>
          <w:tcPr>
            <w:tcW w:w="1276" w:type="dxa"/>
            <w:shd w:val="clear" w:color="auto" w:fill="auto"/>
            <w:vAlign w:val="center"/>
          </w:tcPr>
          <w:p w14:paraId="4F1F69C8">
            <w:pPr>
              <w:jc w:val="center"/>
              <w:textAlignment w:val="center"/>
              <w:rPr>
                <w:rFonts w:ascii="宋体" w:hAnsi="宋体" w:eastAsia="宋体" w:cs="宋体"/>
                <w:color w:val="000000"/>
              </w:rPr>
            </w:pPr>
            <w:r>
              <w:rPr>
                <w:rFonts w:hint="eastAsia" w:ascii="宋体" w:hAnsi="宋体" w:eastAsia="宋体" w:cs="宋体"/>
                <w:color w:val="000000"/>
              </w:rPr>
              <w:t>s-HR薪酬核算</w:t>
            </w:r>
          </w:p>
        </w:tc>
        <w:tc>
          <w:tcPr>
            <w:tcW w:w="6520" w:type="dxa"/>
            <w:shd w:val="clear" w:color="auto" w:fill="auto"/>
          </w:tcPr>
          <w:p w14:paraId="694ABA5A">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薪酬核算包含了员工薪酬档案管理、员工社保档案管理、员工薪酬向导式核算、变动员工薪酬精准核算、发放审批、银行代发、薪酬成本分摊，薪酬费用分配提交财务生成凭证，套打打印，员工自助查询工资条，薪酬报表查询和薪酬统计分析报表、社保及住房公积金缴纳计算和报表查询等功能，实现各部门、车间自行录入提交、审批计件工资相关数据等功能，并在技术方案里面详细说明。</w:t>
            </w:r>
          </w:p>
          <w:p w14:paraId="0A950142">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1、薪资信息录入：由车间（部门）根据班组员工分类进行工资结算数据录入，员工岗位工种信息维护。</w:t>
            </w:r>
          </w:p>
          <w:p w14:paraId="4A66AAA4">
            <w:pPr>
              <w:jc w:val="left"/>
              <w:textAlignment w:val="top"/>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2、薪资审核：人事部门进行人员信息数据维护、车间（部门）提交数据审核修正、薪资报表生成等。其中：人事部门分为两块：管理人员由党政办负责、其他人员由人力资源部负责。</w:t>
            </w:r>
          </w:p>
          <w:p w14:paraId="60001BA2">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3、基层班组根据员工计件工资、带薪年休等数据，在班组端录入、车间审核、HR审核。</w:t>
            </w:r>
          </w:p>
          <w:p w14:paraId="1B7E6436">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4、数据集成：考勤系统集成结果到HR系统。</w:t>
            </w:r>
          </w:p>
          <w:p w14:paraId="0652E5AD">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5、单项津贴、奖金发放：高温津贴、一次性奖金、 业绩提成等不定期发放项目单独制表发放，个税归入次月工资合并计税。</w:t>
            </w:r>
          </w:p>
          <w:p w14:paraId="16694FC8">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6、劳务费用核算：劳务员工工资外费用按员工计算生成劳务用工成本报表，根据需要形成按劳务组织分类或按部门分类报表。</w:t>
            </w:r>
          </w:p>
          <w:p w14:paraId="4F67A7C0">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7、外部数据导入：工资项目数据具有由外部数据批量导入功能。</w:t>
            </w:r>
          </w:p>
          <w:p w14:paraId="3946EF0E">
            <w:pPr>
              <w:jc w:val="left"/>
              <w:textAlignment w:val="top"/>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8、假期管理：带薪年休假管理、医疗期管理，各类假期到期提醒。</w:t>
            </w:r>
          </w:p>
        </w:tc>
      </w:tr>
      <w:tr w14:paraId="6BD0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62F22DDB">
            <w:pPr>
              <w:jc w:val="center"/>
              <w:textAlignment w:val="center"/>
              <w:rPr>
                <w:rFonts w:ascii="宋体" w:hAnsi="宋体" w:eastAsia="宋体" w:cs="宋体"/>
                <w:color w:val="000000"/>
              </w:rPr>
            </w:pPr>
            <w:r>
              <w:rPr>
                <w:rFonts w:hint="eastAsia" w:ascii="宋体" w:hAnsi="宋体" w:eastAsia="宋体" w:cs="宋体"/>
                <w:color w:val="000000"/>
              </w:rPr>
              <w:t>s-HR招聘管理</w:t>
            </w:r>
          </w:p>
        </w:tc>
        <w:tc>
          <w:tcPr>
            <w:tcW w:w="1276" w:type="dxa"/>
            <w:shd w:val="clear" w:color="auto" w:fill="auto"/>
            <w:vAlign w:val="center"/>
          </w:tcPr>
          <w:p w14:paraId="220C5F9A">
            <w:pPr>
              <w:jc w:val="center"/>
              <w:textAlignment w:val="center"/>
              <w:rPr>
                <w:rFonts w:ascii="宋体" w:hAnsi="宋体" w:eastAsia="宋体" w:cs="宋体"/>
                <w:color w:val="000000"/>
              </w:rPr>
            </w:pPr>
            <w:r>
              <w:rPr>
                <w:rFonts w:hint="eastAsia" w:ascii="宋体" w:hAnsi="宋体" w:eastAsia="宋体" w:cs="宋体"/>
                <w:color w:val="000000"/>
              </w:rPr>
              <w:t>s-HR招聘管理</w:t>
            </w:r>
          </w:p>
        </w:tc>
        <w:tc>
          <w:tcPr>
            <w:tcW w:w="6520" w:type="dxa"/>
            <w:shd w:val="clear" w:color="auto" w:fill="auto"/>
          </w:tcPr>
          <w:p w14:paraId="2FE6061D">
            <w:pPr>
              <w:jc w:val="left"/>
              <w:textAlignment w:val="top"/>
              <w:rPr>
                <w:rFonts w:ascii="宋体" w:hAnsi="宋体" w:eastAsia="宋体" w:cs="宋体"/>
                <w:color w:val="000000"/>
              </w:rPr>
            </w:pPr>
            <w:r>
              <w:rPr>
                <w:rFonts w:hint="eastAsia" w:ascii="宋体" w:hAnsi="宋体" w:eastAsia="宋体" w:cs="宋体"/>
                <w:color w:val="000000"/>
              </w:rPr>
              <w:t>支持从用人部门提出招聘需求开始，到职位发布、简历筛选、面试安排，直至录用审批的全流程在线操作。</w:t>
            </w:r>
          </w:p>
          <w:p w14:paraId="527AEC32">
            <w:pPr>
              <w:jc w:val="left"/>
              <w:textAlignment w:val="top"/>
              <w:rPr>
                <w:rFonts w:ascii="宋体" w:hAnsi="宋体" w:eastAsia="宋体" w:cs="宋体"/>
                <w:color w:val="000000"/>
              </w:rPr>
            </w:pPr>
            <w:r>
              <w:rPr>
                <w:rFonts w:hint="eastAsia" w:ascii="宋体" w:hAnsi="宋体" w:eastAsia="宋体" w:cs="宋体"/>
                <w:color w:val="000000"/>
              </w:rPr>
              <w:t>多渠道聚合：可以一键将职位发布到多个外部招聘网站（如智联、前程无忧），并自动归集所有渠道投递的简历，形成企业自己的人才库。</w:t>
            </w:r>
          </w:p>
          <w:p w14:paraId="18F70400">
            <w:pPr>
              <w:jc w:val="left"/>
              <w:textAlignment w:val="top"/>
              <w:rPr>
                <w:rFonts w:ascii="宋体" w:hAnsi="宋体" w:eastAsia="宋体" w:cs="宋体"/>
                <w:color w:val="000000"/>
              </w:rPr>
            </w:pPr>
            <w:r>
              <w:rPr>
                <w:rFonts w:hint="eastAsia" w:ascii="宋体" w:hAnsi="宋体" w:eastAsia="宋体" w:cs="宋体"/>
                <w:color w:val="000000"/>
              </w:rPr>
              <w:t>移动协同：面试官可以通过手机接收面试通知、查看简历、填写评价；管理者也能在手机上随时审批用人需求，提升沟通与审批效率。</w:t>
            </w:r>
          </w:p>
          <w:p w14:paraId="4F901186">
            <w:pPr>
              <w:jc w:val="left"/>
              <w:textAlignment w:val="top"/>
              <w:rPr>
                <w:rFonts w:ascii="宋体" w:hAnsi="宋体" w:eastAsia="宋体" w:cs="宋体"/>
                <w:color w:val="000000"/>
              </w:rPr>
            </w:pPr>
            <w:r>
              <w:rPr>
                <w:rFonts w:hint="eastAsia" w:ascii="宋体" w:hAnsi="宋体" w:eastAsia="宋体" w:cs="宋体"/>
                <w:color w:val="000000"/>
              </w:rPr>
              <w:t>数据分析：系统能自动统计招聘渠道效果、招聘周期、招聘成本等数据，生成报表，帮助HR判断哪个渠道招人最有效。</w:t>
            </w:r>
          </w:p>
        </w:tc>
      </w:tr>
      <w:tr w14:paraId="229D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5" w:hRule="atLeast"/>
          <w:jc w:val="center"/>
        </w:trPr>
        <w:tc>
          <w:tcPr>
            <w:tcW w:w="1271" w:type="dxa"/>
            <w:shd w:val="clear" w:color="auto" w:fill="auto"/>
            <w:vAlign w:val="center"/>
          </w:tcPr>
          <w:p w14:paraId="668F69C3">
            <w:pPr>
              <w:jc w:val="center"/>
              <w:textAlignment w:val="center"/>
              <w:rPr>
                <w:rFonts w:ascii="宋体" w:hAnsi="宋体" w:eastAsia="宋体" w:cs="宋体"/>
                <w:color w:val="000000"/>
              </w:rPr>
            </w:pPr>
            <w:r>
              <w:rPr>
                <w:rFonts w:hint="eastAsia" w:ascii="宋体" w:hAnsi="宋体" w:eastAsia="宋体" w:cs="宋体"/>
                <w:color w:val="000000"/>
              </w:rPr>
              <w:t>s-HR系统特性</w:t>
            </w:r>
          </w:p>
        </w:tc>
        <w:tc>
          <w:tcPr>
            <w:tcW w:w="1276" w:type="dxa"/>
            <w:shd w:val="clear" w:color="auto" w:fill="auto"/>
            <w:vAlign w:val="center"/>
          </w:tcPr>
          <w:p w14:paraId="2237A849">
            <w:pPr>
              <w:jc w:val="center"/>
              <w:textAlignment w:val="center"/>
              <w:rPr>
                <w:rFonts w:ascii="宋体" w:hAnsi="宋体" w:eastAsia="宋体" w:cs="宋体"/>
                <w:color w:val="000000"/>
              </w:rPr>
            </w:pPr>
            <w:r>
              <w:rPr>
                <w:rFonts w:hint="eastAsia" w:ascii="宋体" w:hAnsi="宋体" w:eastAsia="宋体" w:cs="宋体"/>
                <w:color w:val="000000"/>
              </w:rPr>
              <w:t>s-HR报表查询</w:t>
            </w:r>
          </w:p>
        </w:tc>
        <w:tc>
          <w:tcPr>
            <w:tcW w:w="6520" w:type="dxa"/>
            <w:shd w:val="clear" w:color="auto" w:fill="auto"/>
          </w:tcPr>
          <w:p w14:paraId="15EFE7E7">
            <w:pPr>
              <w:jc w:val="left"/>
              <w:textAlignment w:val="top"/>
              <w:rPr>
                <w:rFonts w:ascii="宋体" w:hAnsi="宋体" w:eastAsia="宋体" w:cs="宋体"/>
                <w:color w:val="000000"/>
              </w:rPr>
            </w:pPr>
            <w:r>
              <w:rPr>
                <w:rFonts w:hint="eastAsia" w:ascii="宋体" w:hAnsi="宋体" w:eastAsia="宋体" w:cs="宋体"/>
                <w:color w:val="000000"/>
              </w:rPr>
              <w:t>包含报表设计器及使用报表设计器设计的人事报表、薪酬报表、考勤报表、招聘报表。</w:t>
            </w:r>
          </w:p>
          <w:p w14:paraId="68ED8A0C">
            <w:pPr>
              <w:jc w:val="left"/>
              <w:textAlignment w:val="top"/>
              <w:rPr>
                <w:rFonts w:hint="eastAsia" w:ascii="宋体" w:hAnsi="宋体" w:eastAsia="宋体" w:cs="宋体"/>
                <w:color w:val="000000"/>
                <w:lang w:eastAsia="zh-CN"/>
              </w:rPr>
            </w:pPr>
            <w:r>
              <w:rPr>
                <w:rFonts w:hint="eastAsia" w:ascii="宋体" w:hAnsi="宋体" w:eastAsia="宋体" w:cs="宋体"/>
                <w:color w:val="000000"/>
              </w:rPr>
              <w:t>1、提供银行发放表格</w:t>
            </w:r>
            <w:r>
              <w:rPr>
                <w:rFonts w:hint="eastAsia" w:ascii="宋体" w:hAnsi="宋体" w:eastAsia="宋体" w:cs="宋体"/>
                <w:color w:val="000000"/>
                <w:lang w:eastAsia="zh-CN"/>
              </w:rPr>
              <w:t>；</w:t>
            </w:r>
          </w:p>
          <w:p w14:paraId="465CA5E8">
            <w:pPr>
              <w:jc w:val="left"/>
              <w:textAlignment w:val="top"/>
              <w:rPr>
                <w:rFonts w:hint="eastAsia" w:ascii="宋体" w:hAnsi="宋体" w:eastAsia="宋体" w:cs="宋体"/>
                <w:color w:val="000000"/>
                <w:lang w:eastAsia="zh-CN"/>
              </w:rPr>
            </w:pPr>
            <w:r>
              <w:rPr>
                <w:rFonts w:hint="eastAsia" w:ascii="宋体" w:hAnsi="宋体" w:eastAsia="宋体" w:cs="宋体"/>
                <w:color w:val="000000"/>
              </w:rPr>
              <w:t>2、</w:t>
            </w:r>
            <w:r>
              <w:rPr>
                <w:rFonts w:hint="eastAsia" w:ascii="宋体" w:hAnsi="宋体" w:eastAsia="宋体" w:cs="宋体"/>
                <w:color w:val="000000"/>
                <w:lang w:val="en-US" w:eastAsia="zh-CN"/>
              </w:rPr>
              <w:t>员工工资、个税、社保基数等年度汇总表</w:t>
            </w:r>
            <w:r>
              <w:rPr>
                <w:rFonts w:hint="eastAsia" w:ascii="宋体" w:hAnsi="宋体" w:eastAsia="宋体" w:cs="宋体"/>
                <w:color w:val="000000"/>
                <w:lang w:eastAsia="zh-CN"/>
              </w:rPr>
              <w:t>；</w:t>
            </w:r>
          </w:p>
          <w:p w14:paraId="28BB6C04">
            <w:pPr>
              <w:jc w:val="left"/>
              <w:textAlignment w:val="top"/>
              <w:rPr>
                <w:rFonts w:hint="eastAsia" w:ascii="宋体" w:hAnsi="宋体" w:eastAsia="宋体" w:cs="宋体"/>
                <w:color w:val="000000"/>
                <w:lang w:eastAsia="zh-CN"/>
              </w:rPr>
            </w:pPr>
            <w:r>
              <w:rPr>
                <w:rFonts w:hint="eastAsia" w:ascii="宋体" w:hAnsi="宋体" w:eastAsia="宋体" w:cs="宋体"/>
                <w:color w:val="000000"/>
              </w:rPr>
              <w:t>3、</w:t>
            </w:r>
            <w:r>
              <w:rPr>
                <w:rFonts w:hint="eastAsia" w:ascii="宋体" w:hAnsi="宋体" w:eastAsia="宋体" w:cs="宋体"/>
                <w:color w:val="000000"/>
                <w:lang w:val="en-US" w:eastAsia="zh-CN"/>
              </w:rPr>
              <w:t>自定义其他报表（标准格式报表、自定义报表、图表看版）</w:t>
            </w:r>
            <w:r>
              <w:rPr>
                <w:rFonts w:hint="eastAsia" w:cs="微软雅黑" w:asciiTheme="minorEastAsia" w:hAnsiTheme="minorEastAsia" w:eastAsiaTheme="minorEastAsia"/>
                <w:color w:val="0000FF"/>
                <w:sz w:val="24"/>
                <w:szCs w:val="24"/>
                <w:lang w:val="en-US" w:eastAsia="zh-CN"/>
              </w:rPr>
              <w:t>。</w:t>
            </w:r>
            <w:r>
              <w:rPr>
                <w:rFonts w:hint="eastAsia" w:ascii="宋体" w:hAnsi="宋体" w:eastAsia="宋体" w:cs="宋体"/>
                <w:color w:val="000000"/>
                <w:lang w:eastAsia="zh-CN"/>
              </w:rPr>
              <w:t>。</w:t>
            </w:r>
          </w:p>
        </w:tc>
      </w:tr>
      <w:tr w14:paraId="079F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184A77D5">
            <w:pPr>
              <w:jc w:val="center"/>
              <w:textAlignment w:val="center"/>
              <w:rPr>
                <w:rFonts w:ascii="宋体" w:hAnsi="宋体" w:eastAsia="宋体" w:cs="宋体"/>
                <w:color w:val="000000"/>
              </w:rPr>
            </w:pPr>
            <w:r>
              <w:rPr>
                <w:rFonts w:hint="eastAsia" w:ascii="宋体" w:hAnsi="宋体" w:eastAsia="宋体" w:cs="宋体"/>
                <w:color w:val="000000"/>
              </w:rPr>
              <w:t>成本报表开发</w:t>
            </w:r>
          </w:p>
        </w:tc>
        <w:tc>
          <w:tcPr>
            <w:tcW w:w="1276" w:type="dxa"/>
            <w:shd w:val="clear" w:color="auto" w:fill="auto"/>
            <w:vAlign w:val="center"/>
          </w:tcPr>
          <w:p w14:paraId="756B59AF">
            <w:pPr>
              <w:jc w:val="left"/>
              <w:textAlignment w:val="top"/>
              <w:rPr>
                <w:rFonts w:ascii="宋体" w:hAnsi="宋体" w:eastAsia="宋体" w:cs="宋体"/>
                <w:color w:val="000000"/>
              </w:rPr>
            </w:pPr>
            <w:r>
              <w:rPr>
                <w:rFonts w:hint="eastAsia" w:ascii="宋体" w:hAnsi="宋体" w:eastAsia="宋体" w:cs="宋体"/>
                <w:color w:val="000000"/>
              </w:rPr>
              <w:t>成本报表开发</w:t>
            </w:r>
          </w:p>
        </w:tc>
        <w:tc>
          <w:tcPr>
            <w:tcW w:w="6520" w:type="dxa"/>
            <w:shd w:val="clear" w:color="auto" w:fill="auto"/>
          </w:tcPr>
          <w:p w14:paraId="28AE459A">
            <w:pPr>
              <w:jc w:val="left"/>
              <w:textAlignment w:val="top"/>
              <w:rPr>
                <w:rFonts w:hint="eastAsia" w:ascii="宋体" w:hAnsi="宋体" w:eastAsia="宋体" w:cs="宋体"/>
                <w:color w:val="000000"/>
                <w:lang w:eastAsia="zh-CN"/>
              </w:rPr>
            </w:pPr>
            <w:r>
              <w:rPr>
                <w:rFonts w:hint="eastAsia" w:ascii="宋体" w:hAnsi="宋体" w:eastAsia="宋体" w:cs="宋体"/>
                <w:color w:val="000000"/>
              </w:rPr>
              <w:t>成本报表开发，按照要求每月滚动出具报表</w:t>
            </w:r>
            <w:r>
              <w:rPr>
                <w:rFonts w:hint="eastAsia" w:ascii="宋体" w:hAnsi="宋体" w:eastAsia="宋体" w:cs="宋体"/>
                <w:color w:val="000000"/>
                <w:lang w:eastAsia="zh-CN"/>
              </w:rPr>
              <w:t>。</w:t>
            </w:r>
          </w:p>
        </w:tc>
      </w:tr>
      <w:tr w14:paraId="7B27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17CAF95C">
            <w:pPr>
              <w:jc w:val="left"/>
              <w:textAlignment w:val="top"/>
              <w:rPr>
                <w:rFonts w:ascii="宋体" w:hAnsi="宋体" w:eastAsia="宋体" w:cs="宋体"/>
                <w:color w:val="000000"/>
              </w:rPr>
            </w:pPr>
            <w:r>
              <w:rPr>
                <w:rFonts w:hint="eastAsia" w:ascii="宋体" w:hAnsi="宋体" w:eastAsia="宋体" w:cs="宋体"/>
                <w:color w:val="000000"/>
              </w:rPr>
              <w:t>管理分析</w:t>
            </w:r>
          </w:p>
          <w:p w14:paraId="6580ABDD">
            <w:pPr>
              <w:jc w:val="left"/>
              <w:textAlignment w:val="top"/>
              <w:rPr>
                <w:rFonts w:ascii="宋体" w:hAnsi="宋体" w:eastAsia="宋体" w:cs="宋体"/>
                <w:color w:val="000000"/>
              </w:rPr>
            </w:pPr>
            <w:r>
              <w:rPr>
                <w:rFonts w:hint="eastAsia" w:ascii="宋体" w:hAnsi="宋体" w:eastAsia="宋体" w:cs="宋体"/>
                <w:color w:val="000000"/>
              </w:rPr>
              <w:t>报表</w:t>
            </w:r>
          </w:p>
        </w:tc>
        <w:tc>
          <w:tcPr>
            <w:tcW w:w="1276" w:type="dxa"/>
            <w:shd w:val="clear" w:color="auto" w:fill="auto"/>
            <w:vAlign w:val="center"/>
          </w:tcPr>
          <w:p w14:paraId="049DE957">
            <w:pPr>
              <w:jc w:val="left"/>
              <w:textAlignment w:val="top"/>
              <w:rPr>
                <w:rFonts w:ascii="宋体" w:hAnsi="宋体" w:eastAsia="宋体" w:cs="宋体"/>
                <w:color w:val="000000"/>
              </w:rPr>
            </w:pPr>
            <w:r>
              <w:rPr>
                <w:rFonts w:hint="eastAsia" w:ascii="宋体" w:hAnsi="宋体" w:eastAsia="宋体" w:cs="宋体"/>
                <w:color w:val="000000"/>
              </w:rPr>
              <w:t>管理者分析</w:t>
            </w:r>
          </w:p>
        </w:tc>
        <w:tc>
          <w:tcPr>
            <w:tcW w:w="6520" w:type="dxa"/>
            <w:shd w:val="clear" w:color="auto" w:fill="auto"/>
          </w:tcPr>
          <w:p w14:paraId="64ED44B7">
            <w:pPr>
              <w:jc w:val="left"/>
              <w:textAlignment w:val="top"/>
              <w:rPr>
                <w:rFonts w:ascii="宋体" w:hAnsi="宋体" w:eastAsia="宋体" w:cs="宋体"/>
                <w:color w:val="000000"/>
              </w:rPr>
            </w:pPr>
            <w:r>
              <w:rPr>
                <w:rFonts w:hint="eastAsia" w:ascii="宋体" w:hAnsi="宋体" w:eastAsia="宋体" w:cs="宋体"/>
                <w:color w:val="000000"/>
              </w:rPr>
              <w:t>各级管理者提供人力总量、结构、流动、成本、绩效等多维度实时数据看板，支持穿透钻取与自定义分析，直观掌握组织人力健康度，辅助团队管理与经营决策</w:t>
            </w:r>
          </w:p>
          <w:p w14:paraId="2B008C3B">
            <w:pPr>
              <w:jc w:val="left"/>
              <w:textAlignment w:val="top"/>
              <w:rPr>
                <w:rFonts w:ascii="宋体" w:hAnsi="宋体" w:eastAsia="宋体" w:cs="宋体"/>
                <w:color w:val="000000"/>
              </w:rPr>
            </w:pPr>
            <w:r>
              <w:rPr>
                <w:rFonts w:hint="eastAsia" w:ascii="宋体" w:hAnsi="宋体" w:eastAsia="宋体" w:cs="宋体"/>
                <w:color w:val="000000"/>
              </w:rPr>
              <w:t>主要功能：</w:t>
            </w:r>
          </w:p>
          <w:p w14:paraId="2237FD4F">
            <w:pPr>
              <w:jc w:val="left"/>
              <w:textAlignment w:val="top"/>
              <w:rPr>
                <w:rFonts w:hint="eastAsia" w:ascii="宋体" w:hAnsi="宋体" w:eastAsia="宋体" w:cs="宋体"/>
                <w:color w:val="000000"/>
                <w:lang w:eastAsia="zh-CN"/>
              </w:rPr>
            </w:pPr>
            <w:r>
              <w:rPr>
                <w:rFonts w:hint="eastAsia" w:ascii="宋体" w:hAnsi="宋体" w:eastAsia="宋体" w:cs="宋体"/>
                <w:color w:val="000000"/>
              </w:rPr>
              <w:t>1、查看HR人员录入的年假、医疗期、产假 数据等</w:t>
            </w:r>
            <w:r>
              <w:rPr>
                <w:rFonts w:hint="eastAsia" w:ascii="宋体" w:hAnsi="宋体" w:eastAsia="宋体" w:cs="宋体"/>
                <w:color w:val="000000"/>
                <w:lang w:eastAsia="zh-CN"/>
              </w:rPr>
              <w:t>；</w:t>
            </w:r>
          </w:p>
          <w:p w14:paraId="1306DEFC">
            <w:pPr>
              <w:jc w:val="left"/>
              <w:textAlignment w:val="top"/>
              <w:rPr>
                <w:rFonts w:hint="eastAsia" w:ascii="宋体" w:hAnsi="宋体" w:eastAsia="宋体" w:cs="宋体"/>
                <w:color w:val="000000"/>
                <w:lang w:eastAsia="zh-CN"/>
              </w:rPr>
            </w:pPr>
            <w:r>
              <w:rPr>
                <w:rFonts w:hint="eastAsia" w:ascii="宋体" w:hAnsi="宋体" w:eastAsia="宋体" w:cs="宋体"/>
                <w:color w:val="000000"/>
              </w:rPr>
              <w:t>2、满足工资条打印</w:t>
            </w:r>
            <w:r>
              <w:rPr>
                <w:rFonts w:hint="eastAsia" w:ascii="宋体" w:hAnsi="宋体" w:eastAsia="宋体" w:cs="宋体"/>
                <w:color w:val="000000"/>
                <w:lang w:eastAsia="zh-CN"/>
              </w:rPr>
              <w:t>；</w:t>
            </w:r>
          </w:p>
          <w:p w14:paraId="793E6B60">
            <w:pPr>
              <w:jc w:val="left"/>
              <w:textAlignment w:val="top"/>
              <w:rPr>
                <w:rFonts w:hint="eastAsia" w:ascii="宋体" w:hAnsi="宋体" w:eastAsia="宋体" w:cs="宋体"/>
                <w:color w:val="000000"/>
                <w:lang w:eastAsia="zh-CN"/>
              </w:rPr>
            </w:pPr>
            <w:r>
              <w:rPr>
                <w:rFonts w:hint="eastAsia" w:ascii="宋体" w:hAnsi="宋体" w:eastAsia="宋体" w:cs="宋体"/>
                <w:color w:val="000000"/>
              </w:rPr>
              <w:t>3、定员定编查看</w:t>
            </w:r>
            <w:r>
              <w:rPr>
                <w:rFonts w:hint="eastAsia" w:ascii="宋体" w:hAnsi="宋体" w:eastAsia="宋体" w:cs="宋体"/>
                <w:color w:val="000000"/>
                <w:lang w:eastAsia="zh-CN"/>
              </w:rPr>
              <w:t>。</w:t>
            </w:r>
          </w:p>
        </w:tc>
      </w:tr>
      <w:tr w14:paraId="00EC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131D6694">
            <w:pPr>
              <w:jc w:val="center"/>
              <w:textAlignment w:val="center"/>
              <w:rPr>
                <w:rFonts w:ascii="宋体" w:hAnsi="宋体" w:eastAsia="宋体" w:cs="宋体"/>
                <w:color w:val="000000"/>
              </w:rPr>
            </w:pPr>
            <w:r>
              <w:rPr>
                <w:rFonts w:hint="eastAsia" w:ascii="宋体" w:hAnsi="宋体" w:eastAsia="宋体" w:cs="宋体"/>
                <w:color w:val="000000"/>
              </w:rPr>
              <w:t>工作流审批</w:t>
            </w:r>
          </w:p>
        </w:tc>
        <w:tc>
          <w:tcPr>
            <w:tcW w:w="1276" w:type="dxa"/>
            <w:shd w:val="clear" w:color="auto" w:fill="auto"/>
            <w:vAlign w:val="center"/>
          </w:tcPr>
          <w:p w14:paraId="080A3E2D">
            <w:pPr>
              <w:jc w:val="left"/>
              <w:textAlignment w:val="top"/>
              <w:rPr>
                <w:rFonts w:ascii="宋体" w:hAnsi="宋体" w:eastAsia="宋体" w:cs="宋体"/>
                <w:color w:val="000000"/>
              </w:rPr>
            </w:pPr>
          </w:p>
        </w:tc>
        <w:tc>
          <w:tcPr>
            <w:tcW w:w="6520" w:type="dxa"/>
            <w:shd w:val="clear" w:color="auto" w:fill="auto"/>
            <w:vAlign w:val="center"/>
          </w:tcPr>
          <w:p w14:paraId="3200197C">
            <w:pPr>
              <w:jc w:val="left"/>
              <w:textAlignment w:val="top"/>
              <w:rPr>
                <w:rFonts w:ascii="宋体" w:hAnsi="宋体" w:eastAsia="宋体" w:cs="宋体"/>
                <w:color w:val="000000"/>
              </w:rPr>
            </w:pPr>
            <w:r>
              <w:rPr>
                <w:rFonts w:hint="eastAsia" w:ascii="宋体" w:hAnsi="宋体" w:eastAsia="宋体" w:cs="宋体"/>
                <w:color w:val="000000"/>
              </w:rPr>
              <w:t>工作流审批：</w:t>
            </w:r>
          </w:p>
          <w:p w14:paraId="7B1A0BA5">
            <w:pPr>
              <w:jc w:val="left"/>
              <w:textAlignment w:val="top"/>
              <w:rPr>
                <w:rFonts w:hint="eastAsia" w:ascii="宋体" w:hAnsi="宋体" w:eastAsia="宋体" w:cs="宋体"/>
                <w:lang w:eastAsia="zh-CN"/>
              </w:rPr>
            </w:pPr>
            <w:r>
              <w:rPr>
                <w:rFonts w:hint="eastAsia" w:ascii="宋体" w:hAnsi="宋体" w:eastAsia="宋体" w:cs="宋体"/>
                <w:color w:val="000000"/>
              </w:rPr>
              <w:t>班组按照 组织架构、班组等授权， 流程按照审批进行设置</w:t>
            </w:r>
            <w:r>
              <w:rPr>
                <w:rFonts w:hint="eastAsia" w:ascii="宋体" w:hAnsi="宋体" w:eastAsia="宋体" w:cs="宋体"/>
                <w:color w:val="000000"/>
                <w:lang w:eastAsia="zh-CN"/>
              </w:rPr>
              <w:t>。</w:t>
            </w:r>
          </w:p>
        </w:tc>
      </w:tr>
      <w:tr w14:paraId="1DFD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14:paraId="718E54F5">
            <w:pPr>
              <w:jc w:val="center"/>
              <w:textAlignment w:val="center"/>
              <w:rPr>
                <w:rFonts w:hint="eastAsia" w:ascii="宋体" w:hAnsi="宋体" w:eastAsia="宋体" w:cs="宋体"/>
                <w:color w:val="000000"/>
              </w:rPr>
            </w:pPr>
            <w:r>
              <w:rPr>
                <w:rFonts w:hint="eastAsia" w:cs="微软雅黑" w:asciiTheme="minorEastAsia" w:hAnsiTheme="minorEastAsia" w:eastAsiaTheme="minorEastAsia"/>
                <w:color w:val="000000"/>
                <w:sz w:val="24"/>
                <w:szCs w:val="24"/>
                <w:lang w:val="en-US" w:eastAsia="zh-CN"/>
              </w:rPr>
              <w:t>硬件</w:t>
            </w:r>
          </w:p>
        </w:tc>
        <w:tc>
          <w:tcPr>
            <w:tcW w:w="1276" w:type="dxa"/>
            <w:shd w:val="clear" w:color="auto" w:fill="auto"/>
            <w:vAlign w:val="center"/>
          </w:tcPr>
          <w:p w14:paraId="0D940904">
            <w:pPr>
              <w:jc w:val="left"/>
              <w:textAlignment w:val="top"/>
              <w:rPr>
                <w:rFonts w:ascii="宋体" w:hAnsi="宋体" w:eastAsia="宋体" w:cs="宋体"/>
                <w:color w:val="000000"/>
              </w:rPr>
            </w:pPr>
          </w:p>
        </w:tc>
        <w:tc>
          <w:tcPr>
            <w:tcW w:w="6520" w:type="dxa"/>
            <w:shd w:val="clear" w:color="auto" w:fill="auto"/>
            <w:vAlign w:val="center"/>
          </w:tcPr>
          <w:p w14:paraId="72C53035">
            <w:pPr>
              <w:jc w:val="left"/>
              <w:textAlignment w:val="center"/>
              <w:rPr>
                <w:rFonts w:hint="eastAsia" w:cs="微软雅黑" w:asciiTheme="minorEastAsia" w:hAnsiTheme="minorEastAsia" w:eastAsiaTheme="minorEastAsia"/>
                <w:color w:val="000000"/>
                <w:sz w:val="24"/>
                <w:szCs w:val="24"/>
                <w:lang w:val="en-US" w:eastAsia="zh-CN"/>
              </w:rPr>
            </w:pPr>
            <w:r>
              <w:rPr>
                <w:rFonts w:hint="eastAsia" w:cs="微软雅黑" w:asciiTheme="minorEastAsia" w:hAnsiTheme="minorEastAsia" w:eastAsiaTheme="minorEastAsia"/>
                <w:color w:val="000000"/>
                <w:sz w:val="24"/>
                <w:szCs w:val="24"/>
                <w:lang w:val="en-US" w:eastAsia="zh-CN"/>
              </w:rPr>
              <w:t>满足系统运行硬件要求。</w:t>
            </w:r>
          </w:p>
        </w:tc>
      </w:tr>
    </w:tbl>
    <w:p w14:paraId="73DD5ED6">
      <w:pPr>
        <w:pStyle w:val="2"/>
        <w:ind w:left="0" w:leftChars="0" w:firstLine="0" w:firstLineChars="0"/>
        <w:rPr>
          <w:rFonts w:ascii="宋体" w:hAnsi="宋体" w:cs="宋体"/>
        </w:rPr>
      </w:pPr>
    </w:p>
    <w:p w14:paraId="141A42F7">
      <w:pPr>
        <w:pStyle w:val="2"/>
        <w:numPr>
          <w:ilvl w:val="0"/>
          <w:numId w:val="3"/>
        </w:numPr>
        <w:ind w:left="480" w:firstLine="480"/>
        <w:rPr>
          <w:rFonts w:ascii="宋体" w:hAnsi="宋体" w:cs="宋体"/>
        </w:rPr>
      </w:pPr>
      <w:r>
        <w:rPr>
          <w:rFonts w:hint="eastAsia" w:ascii="宋体" w:hAnsi="宋体" w:cs="宋体"/>
        </w:rPr>
        <w:t>系统用户数需求说明</w:t>
      </w:r>
    </w:p>
    <w:tbl>
      <w:tblPr>
        <w:tblStyle w:val="49"/>
        <w:tblW w:w="9045"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05"/>
        <w:gridCol w:w="1635"/>
        <w:gridCol w:w="4905"/>
      </w:tblGrid>
      <w:tr w14:paraId="0BAE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trPr>
        <w:tc>
          <w:tcPr>
            <w:tcW w:w="2505" w:type="dxa"/>
            <w:shd w:val="clear" w:color="auto" w:fill="FFFFFF" w:themeFill="background1"/>
            <w:vAlign w:val="center"/>
          </w:tcPr>
          <w:p w14:paraId="4500ACF6">
            <w:pPr>
              <w:jc w:val="center"/>
              <w:textAlignment w:val="center"/>
              <w:rPr>
                <w:rFonts w:ascii="宋体" w:hAnsi="宋体" w:eastAsia="宋体" w:cs="宋体"/>
                <w:color w:val="000000"/>
              </w:rPr>
            </w:pPr>
            <w:r>
              <w:rPr>
                <w:rFonts w:hint="eastAsia" w:ascii="宋体" w:hAnsi="宋体" w:eastAsia="宋体" w:cs="宋体"/>
                <w:color w:val="000000"/>
              </w:rPr>
              <w:t>分组</w:t>
            </w:r>
          </w:p>
        </w:tc>
        <w:tc>
          <w:tcPr>
            <w:tcW w:w="1635" w:type="dxa"/>
            <w:shd w:val="clear" w:color="auto" w:fill="FFFFFF" w:themeFill="background1"/>
            <w:vAlign w:val="center"/>
          </w:tcPr>
          <w:p w14:paraId="3ED2724D">
            <w:pPr>
              <w:jc w:val="center"/>
              <w:textAlignment w:val="center"/>
              <w:rPr>
                <w:rFonts w:ascii="宋体" w:hAnsi="宋体" w:eastAsia="宋体" w:cs="宋体"/>
                <w:color w:val="000000"/>
              </w:rPr>
            </w:pPr>
            <w:r>
              <w:rPr>
                <w:rFonts w:hint="eastAsia" w:ascii="宋体" w:hAnsi="宋体" w:eastAsia="宋体" w:cs="宋体"/>
                <w:color w:val="000000"/>
              </w:rPr>
              <w:t xml:space="preserve"> 用户数 </w:t>
            </w:r>
          </w:p>
        </w:tc>
        <w:tc>
          <w:tcPr>
            <w:tcW w:w="4905" w:type="dxa"/>
            <w:shd w:val="clear" w:color="auto" w:fill="FFFFFF" w:themeFill="background1"/>
            <w:vAlign w:val="center"/>
          </w:tcPr>
          <w:p w14:paraId="01A25211">
            <w:pPr>
              <w:jc w:val="center"/>
              <w:textAlignment w:val="center"/>
              <w:rPr>
                <w:rFonts w:ascii="宋体" w:hAnsi="宋体" w:eastAsia="宋体" w:cs="宋体"/>
                <w:color w:val="000000"/>
              </w:rPr>
            </w:pPr>
            <w:r>
              <w:rPr>
                <w:rFonts w:hint="eastAsia" w:ascii="宋体" w:hAnsi="宋体" w:eastAsia="宋体" w:cs="宋体"/>
                <w:color w:val="000000"/>
              </w:rPr>
              <w:t>备注</w:t>
            </w:r>
          </w:p>
        </w:tc>
      </w:tr>
      <w:tr w14:paraId="2AFD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trPr>
        <w:tc>
          <w:tcPr>
            <w:tcW w:w="2505" w:type="dxa"/>
            <w:shd w:val="clear" w:color="auto" w:fill="auto"/>
            <w:vAlign w:val="center"/>
          </w:tcPr>
          <w:p w14:paraId="3F685CBC">
            <w:pPr>
              <w:jc w:val="center"/>
              <w:textAlignment w:val="center"/>
              <w:rPr>
                <w:rFonts w:ascii="宋体" w:hAnsi="宋体" w:eastAsia="宋体" w:cs="宋体"/>
                <w:color w:val="000000"/>
              </w:rPr>
            </w:pPr>
            <w:r>
              <w:rPr>
                <w:rFonts w:hint="eastAsia" w:ascii="宋体" w:hAnsi="宋体" w:eastAsia="宋体" w:cs="宋体"/>
                <w:color w:val="000000"/>
              </w:rPr>
              <w:t>HR系统</w:t>
            </w:r>
          </w:p>
        </w:tc>
        <w:tc>
          <w:tcPr>
            <w:tcW w:w="1635" w:type="dxa"/>
            <w:shd w:val="clear" w:color="auto" w:fill="auto"/>
            <w:vAlign w:val="center"/>
          </w:tcPr>
          <w:p w14:paraId="2511C585">
            <w:pPr>
              <w:jc w:val="center"/>
              <w:textAlignment w:val="center"/>
              <w:rPr>
                <w:rFonts w:hint="default" w:ascii="宋体" w:hAnsi="宋体" w:eastAsia="宋体" w:cs="宋体"/>
                <w:color w:val="000000"/>
                <w:lang w:val="en-US" w:eastAsia="zh-CN"/>
              </w:rPr>
            </w:pPr>
            <w:r>
              <w:rPr>
                <w:rFonts w:hint="eastAsia" w:ascii="宋体" w:hAnsi="宋体" w:eastAsia="宋体" w:cs="宋体"/>
                <w:color w:val="000000"/>
              </w:rPr>
              <w:t>专业用户10，团队用户</w:t>
            </w:r>
            <w:r>
              <w:rPr>
                <w:rFonts w:hint="eastAsia" w:ascii="宋体" w:hAnsi="宋体" w:eastAsia="宋体" w:cs="宋体"/>
                <w:color w:val="000000"/>
                <w:lang w:val="en-US" w:eastAsia="zh-CN"/>
              </w:rPr>
              <w:t>90</w:t>
            </w:r>
          </w:p>
        </w:tc>
        <w:tc>
          <w:tcPr>
            <w:tcW w:w="4905" w:type="dxa"/>
            <w:shd w:val="clear" w:color="auto" w:fill="auto"/>
            <w:vAlign w:val="center"/>
          </w:tcPr>
          <w:p w14:paraId="64007EBF">
            <w:pPr>
              <w:jc w:val="center"/>
              <w:textAlignment w:val="center"/>
              <w:rPr>
                <w:rFonts w:hint="default" w:ascii="宋体" w:hAnsi="宋体" w:eastAsia="宋体" w:cs="宋体"/>
                <w:color w:val="000000"/>
                <w:lang w:val="en-US" w:eastAsia="zh-CN"/>
              </w:rPr>
            </w:pPr>
            <w:r>
              <w:rPr>
                <w:rFonts w:hint="eastAsia" w:ascii="宋体" w:hAnsi="宋体" w:eastAsia="宋体" w:cs="宋体"/>
                <w:b/>
                <w:bCs/>
                <w:color w:val="000000"/>
                <w:kern w:val="0"/>
              </w:rPr>
              <w:t>新增模块、用户数</w:t>
            </w:r>
            <w:r>
              <w:rPr>
                <w:rFonts w:hint="eastAsia" w:ascii="宋体" w:hAnsi="宋体" w:eastAsia="宋体" w:cs="宋体"/>
                <w:b/>
                <w:bCs/>
                <w:color w:val="000000"/>
                <w:kern w:val="0"/>
                <w:lang w:eastAsia="zh-CN"/>
              </w:rPr>
              <w:t>，</w:t>
            </w:r>
            <w:r>
              <w:rPr>
                <w:rFonts w:hint="eastAsia" w:ascii="宋体" w:hAnsi="宋体" w:eastAsia="宋体" w:cs="宋体"/>
                <w:b/>
                <w:bCs/>
                <w:color w:val="000000"/>
                <w:kern w:val="0"/>
                <w:lang w:val="en-US" w:eastAsia="zh-CN"/>
              </w:rPr>
              <w:t>以实际用户数结算</w:t>
            </w:r>
          </w:p>
        </w:tc>
      </w:tr>
    </w:tbl>
    <w:p w14:paraId="20E77F82">
      <w:pPr>
        <w:spacing w:line="440" w:lineRule="exact"/>
        <w:ind w:firstLine="482" w:firstLineChars="200"/>
        <w:rPr>
          <w:rFonts w:hint="eastAsia" w:ascii="宋体" w:hAnsi="宋体" w:eastAsia="宋体" w:cs="宋体"/>
          <w:b/>
          <w:color w:val="000000" w:themeColor="text1"/>
          <w:kern w:val="0"/>
          <w:lang w:val="zh-CN"/>
          <w14:textFill>
            <w14:solidFill>
              <w14:schemeClr w14:val="tx1"/>
            </w14:solidFill>
          </w14:textFill>
        </w:rPr>
      </w:pPr>
    </w:p>
    <w:p w14:paraId="5358F0E7">
      <w:pPr>
        <w:spacing w:line="440" w:lineRule="exact"/>
        <w:ind w:firstLine="482" w:firstLineChars="200"/>
        <w:rPr>
          <w:rFonts w:hint="eastAsia" w:ascii="宋体" w:hAnsi="宋体" w:eastAsia="宋体" w:cs="宋体"/>
          <w:b/>
          <w:color w:val="000000" w:themeColor="text1"/>
          <w:kern w:val="0"/>
          <w:lang w:val="zh-CN"/>
          <w14:textFill>
            <w14:solidFill>
              <w14:schemeClr w14:val="tx1"/>
            </w14:solidFill>
          </w14:textFill>
        </w:rPr>
      </w:pPr>
    </w:p>
    <w:p w14:paraId="72D62FAB">
      <w:pPr>
        <w:spacing w:line="440" w:lineRule="exact"/>
        <w:ind w:firstLine="482" w:firstLineChars="200"/>
        <w:rPr>
          <w:rFonts w:hint="eastAsia" w:ascii="宋体" w:hAnsi="宋体" w:eastAsia="宋体" w:cs="宋体"/>
          <w:b/>
          <w:color w:val="000000" w:themeColor="text1"/>
          <w:kern w:val="0"/>
          <w:lang w:val="zh-CN"/>
          <w14:textFill>
            <w14:solidFill>
              <w14:schemeClr w14:val="tx1"/>
            </w14:solidFill>
          </w14:textFill>
        </w:rPr>
      </w:pPr>
    </w:p>
    <w:p w14:paraId="05EACE02">
      <w:pPr>
        <w:spacing w:line="440" w:lineRule="exact"/>
        <w:ind w:firstLine="482" w:firstLineChars="200"/>
        <w:rPr>
          <w:rFonts w:ascii="宋体" w:hAnsi="宋体" w:eastAsia="宋体" w:cs="宋体"/>
          <w:b/>
          <w:color w:val="000000"/>
          <w:kern w:val="0"/>
          <w:lang w:val="zh-CN"/>
        </w:rPr>
      </w:pPr>
      <w:r>
        <w:rPr>
          <w:rFonts w:hint="eastAsia" w:ascii="宋体" w:hAnsi="宋体" w:eastAsia="宋体" w:cs="宋体"/>
          <w:b/>
          <w:color w:val="000000" w:themeColor="text1"/>
          <w:kern w:val="0"/>
          <w:lang w:val="zh-CN"/>
          <w14:textFill>
            <w14:solidFill>
              <w14:schemeClr w14:val="tx1"/>
            </w14:solidFill>
          </w14:textFill>
        </w:rPr>
        <w:t>二、</w:t>
      </w:r>
      <w:r>
        <w:rPr>
          <w:rFonts w:hint="eastAsia" w:ascii="宋体" w:hAnsi="宋体" w:eastAsia="宋体" w:cs="宋体"/>
          <w:b/>
          <w:color w:val="000000"/>
          <w:kern w:val="0"/>
          <w:lang w:val="zh-CN"/>
        </w:rPr>
        <w:t>采购标的需满足的服务标准、期限、效率等要求</w:t>
      </w:r>
    </w:p>
    <w:p w14:paraId="09EDFECC">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1.服务标准</w:t>
      </w:r>
    </w:p>
    <w:p w14:paraId="59AAA0DA">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（1）</w:t>
      </w:r>
      <w:r>
        <w:rPr>
          <w:rFonts w:hint="eastAsia" w:ascii="宋体" w:hAnsi="宋体" w:eastAsia="宋体" w:cs="宋体"/>
          <w:color w:val="000000" w:themeColor="text1"/>
          <w:kern w:val="0"/>
          <w:lang w:val="zh-CN"/>
          <w14:textFill>
            <w14:solidFill>
              <w14:schemeClr w14:val="tx1"/>
            </w14:solidFill>
          </w14:textFill>
        </w:rPr>
        <w:t>供应商应</w:t>
      </w:r>
      <w:r>
        <w:rPr>
          <w:rFonts w:hint="eastAsia" w:ascii="宋体" w:hAnsi="宋体" w:eastAsia="宋体" w:cs="宋体"/>
          <w:color w:val="000000"/>
          <w:kern w:val="0"/>
          <w:lang w:val="zh-CN"/>
        </w:rPr>
        <w:t>建立健全的沟通管理机制，确保项目工作正常、良好、有效开展。</w:t>
      </w:r>
    </w:p>
    <w:p w14:paraId="3368B808">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（2）</w:t>
      </w:r>
      <w:r>
        <w:rPr>
          <w:rFonts w:hint="eastAsia" w:ascii="宋体" w:hAnsi="宋体" w:eastAsia="宋体" w:cs="宋体"/>
          <w:color w:val="000000" w:themeColor="text1"/>
          <w:kern w:val="0"/>
          <w:lang w:val="zh-CN"/>
          <w14:textFill>
            <w14:solidFill>
              <w14:schemeClr w14:val="tx1"/>
            </w14:solidFill>
          </w14:textFill>
        </w:rPr>
        <w:t>供应商</w:t>
      </w:r>
      <w:r>
        <w:rPr>
          <w:rFonts w:hint="eastAsia" w:ascii="宋体" w:hAnsi="宋体" w:eastAsia="宋体" w:cs="宋体"/>
          <w:color w:val="000000"/>
          <w:kern w:val="0"/>
          <w:lang w:val="zh-CN"/>
        </w:rPr>
        <w:t>在实施至验收阶段需提供专业驻场服务，项目整体建设团队规模不少于</w:t>
      </w:r>
      <w:r>
        <w:rPr>
          <w:rFonts w:hint="eastAsia" w:ascii="宋体" w:hAnsi="宋体" w:eastAsia="宋体" w:cs="宋体"/>
          <w:color w:val="000000" w:themeColor="text1"/>
          <w:kern w:val="0"/>
          <w:lang w:val="zh-CN"/>
          <w14:textFill>
            <w14:solidFill>
              <w14:schemeClr w14:val="tx1"/>
            </w14:solidFill>
          </w14:textFill>
        </w:rPr>
        <w:t>5</w:t>
      </w:r>
      <w:r>
        <w:rPr>
          <w:rFonts w:hint="eastAsia" w:ascii="宋体" w:hAnsi="宋体" w:eastAsia="宋体" w:cs="宋体"/>
          <w:color w:val="000000"/>
          <w:kern w:val="0"/>
          <w:lang w:val="zh-CN"/>
        </w:rPr>
        <w:t>人。驻场服务人员需相对固定，如有变动须提前一个月告知。驻场服务人员上下班时间根据用户现场要求，进出现场要求着装大方整洁，遵守现场工作规范。</w:t>
      </w:r>
    </w:p>
    <w:p w14:paraId="33A17E41">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（3）</w:t>
      </w:r>
      <w:r>
        <w:rPr>
          <w:rFonts w:hint="eastAsia" w:ascii="宋体" w:hAnsi="宋体" w:eastAsia="宋体" w:cs="宋体"/>
          <w:color w:val="000000" w:themeColor="text1"/>
          <w:kern w:val="0"/>
          <w:lang w:val="zh-CN"/>
          <w14:textFill>
            <w14:solidFill>
              <w14:schemeClr w14:val="tx1"/>
            </w14:solidFill>
          </w14:textFill>
        </w:rPr>
        <w:t>供应商</w:t>
      </w:r>
      <w:r>
        <w:rPr>
          <w:rFonts w:hint="eastAsia" w:ascii="宋体" w:hAnsi="宋体" w:eastAsia="宋体" w:cs="宋体"/>
          <w:color w:val="000000"/>
          <w:kern w:val="0"/>
          <w:lang w:val="zh-CN"/>
        </w:rPr>
        <w:t>在项目验收后的免运期内需要提供不少于</w:t>
      </w:r>
      <w:r>
        <w:rPr>
          <w:rFonts w:hint="eastAsia" w:ascii="宋体" w:hAnsi="宋体" w:eastAsia="宋体" w:cs="宋体"/>
          <w:color w:val="000000" w:themeColor="text1"/>
          <w:kern w:val="0"/>
          <w:lang w:val="zh-CN"/>
          <w14:textFill>
            <w14:solidFill>
              <w14:schemeClr w14:val="tx1"/>
            </w14:solidFill>
          </w14:textFill>
        </w:rPr>
        <w:t>1</w:t>
      </w:r>
      <w:r>
        <w:rPr>
          <w:rFonts w:hint="eastAsia" w:ascii="宋体" w:hAnsi="宋体" w:eastAsia="宋体" w:cs="宋体"/>
          <w:color w:val="000000"/>
          <w:kern w:val="0"/>
          <w:lang w:val="zh-CN"/>
        </w:rPr>
        <w:t>人的5*8运维驻场服务，提供日常系统运维保障工作。驻场服务人员需相对固定，如有变动须提前一个月告知。驻场服务人员上下班时间根据用户现场要求，进出现场要求着装大方整洁，遵守现场工作规范。</w:t>
      </w:r>
    </w:p>
    <w:p w14:paraId="7A15735F">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w:t>
      </w:r>
      <w:r>
        <w:rPr>
          <w:rFonts w:hint="eastAsia" w:ascii="宋体" w:hAnsi="宋体" w:eastAsia="宋体" w:cs="宋体"/>
          <w:color w:val="000000" w:themeColor="text1"/>
          <w:kern w:val="0"/>
          <w:lang w:val="zh-CN"/>
          <w14:textFill>
            <w14:solidFill>
              <w14:schemeClr w14:val="tx1"/>
            </w14:solidFill>
          </w14:textFill>
        </w:rPr>
        <w:t>4</w:t>
      </w:r>
      <w:r>
        <w:rPr>
          <w:rFonts w:hint="eastAsia" w:ascii="宋体" w:hAnsi="宋体" w:eastAsia="宋体" w:cs="宋体"/>
          <w:color w:val="000000"/>
          <w:kern w:val="0"/>
          <w:lang w:val="zh-CN"/>
        </w:rPr>
        <w:t>）保障平台日常运行，发现故障第一时间响应并处理</w:t>
      </w:r>
      <w:r>
        <w:rPr>
          <w:rFonts w:hint="eastAsia" w:ascii="宋体" w:hAnsi="宋体" w:eastAsia="宋体" w:cs="宋体"/>
          <w:color w:val="000000" w:themeColor="text1"/>
          <w:kern w:val="0"/>
          <w:lang w:val="zh-CN"/>
          <w14:textFill>
            <w14:solidFill>
              <w14:schemeClr w14:val="tx1"/>
            </w14:solidFill>
          </w14:textFill>
        </w:rPr>
        <w:t>。</w:t>
      </w:r>
      <w:r>
        <w:rPr>
          <w:rFonts w:hint="eastAsia" w:ascii="宋体" w:hAnsi="宋体" w:eastAsia="宋体" w:cs="宋体"/>
          <w:color w:val="000000"/>
          <w:kern w:val="0"/>
          <w:lang w:val="zh-CN"/>
        </w:rPr>
        <w:t>建立故障报告单，对上报故障内容进行记录。若无法短时解决故障需尽快上报甲方，协调相关部门及协作厂商排除故障。</w:t>
      </w:r>
    </w:p>
    <w:p w14:paraId="53A4297B">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w:t>
      </w:r>
      <w:r>
        <w:rPr>
          <w:rFonts w:hint="eastAsia" w:ascii="宋体" w:hAnsi="宋体" w:eastAsia="宋体" w:cs="宋体"/>
          <w:color w:val="000000" w:themeColor="text1"/>
          <w:kern w:val="0"/>
          <w:lang w:val="zh-CN"/>
          <w14:textFill>
            <w14:solidFill>
              <w14:schemeClr w14:val="tx1"/>
            </w14:solidFill>
          </w14:textFill>
        </w:rPr>
        <w:t>5</w:t>
      </w:r>
      <w:r>
        <w:rPr>
          <w:rFonts w:hint="eastAsia" w:ascii="宋体" w:hAnsi="宋体" w:eastAsia="宋体" w:cs="宋体"/>
          <w:color w:val="000000"/>
          <w:kern w:val="0"/>
          <w:lang w:val="zh-CN"/>
        </w:rPr>
        <w:t>）驻场人员对涉及</w:t>
      </w:r>
      <w:r>
        <w:rPr>
          <w:rFonts w:hint="eastAsia" w:ascii="宋体" w:hAnsi="宋体" w:eastAsia="宋体" w:cs="宋体"/>
          <w:color w:val="000000" w:themeColor="text1"/>
          <w:kern w:val="0"/>
          <w:lang w:val="zh-CN"/>
          <w14:textFill>
            <w14:solidFill>
              <w14:schemeClr w14:val="tx1"/>
            </w14:solidFill>
          </w14:textFill>
        </w:rPr>
        <w:t>内容</w:t>
      </w:r>
      <w:r>
        <w:rPr>
          <w:rFonts w:hint="eastAsia" w:ascii="宋体" w:hAnsi="宋体" w:eastAsia="宋体" w:cs="宋体"/>
          <w:color w:val="000000"/>
          <w:kern w:val="0"/>
          <w:lang w:val="zh-CN"/>
        </w:rPr>
        <w:t>有保密义务和责任，入场后需单独签署并遵守保密协议。</w:t>
      </w:r>
    </w:p>
    <w:p w14:paraId="4F2B568D">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2.服务期限</w:t>
      </w:r>
    </w:p>
    <w:p w14:paraId="0336C0BF">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本项目建设实施服务期限为</w:t>
      </w:r>
      <w:r>
        <w:rPr>
          <w:rFonts w:hint="eastAsia" w:ascii="宋体" w:hAnsi="宋体" w:eastAsia="宋体" w:cs="宋体"/>
          <w:color w:val="000000" w:themeColor="text1"/>
          <w:kern w:val="0"/>
          <w:lang w:val="zh-CN"/>
          <w14:textFill>
            <w14:solidFill>
              <w14:schemeClr w14:val="tx1"/>
            </w14:solidFill>
          </w14:textFill>
        </w:rPr>
        <w:t>1年</w:t>
      </w:r>
      <w:r>
        <w:rPr>
          <w:rFonts w:hint="eastAsia" w:ascii="宋体" w:hAnsi="宋体" w:eastAsia="宋体" w:cs="宋体"/>
          <w:color w:val="000000"/>
          <w:kern w:val="0"/>
          <w:lang w:val="zh-CN"/>
        </w:rPr>
        <w:t>，在项目验收后提供3年的免费运维。</w:t>
      </w:r>
    </w:p>
    <w:p w14:paraId="39B0BAC5">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3.服务响应时间</w:t>
      </w:r>
    </w:p>
    <w:p w14:paraId="4922AD8E">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themeColor="text1"/>
          <w:kern w:val="0"/>
          <w:lang w:val="zh-CN"/>
          <w14:textFill>
            <w14:solidFill>
              <w14:schemeClr w14:val="tx1"/>
            </w14:solidFill>
          </w14:textFill>
        </w:rPr>
        <w:t>供应商</w:t>
      </w:r>
      <w:r>
        <w:rPr>
          <w:rFonts w:hint="eastAsia" w:ascii="宋体" w:hAnsi="宋体" w:eastAsia="宋体" w:cs="宋体"/>
          <w:color w:val="000000"/>
          <w:kern w:val="0"/>
          <w:lang w:val="zh-CN"/>
        </w:rPr>
        <w:t>提供7*24小时应急支撑响应，并承诺在接到服务请求后，30分钟内响应，1小时内到达现场处理问题，4小时内恢复系统，提供故障报告。</w:t>
      </w:r>
    </w:p>
    <w:p w14:paraId="0AA7B870">
      <w:pPr>
        <w:tabs>
          <w:tab w:val="left" w:pos="0"/>
        </w:tabs>
        <w:spacing w:line="440" w:lineRule="exact"/>
        <w:ind w:firstLine="482" w:firstLineChars="200"/>
        <w:rPr>
          <w:rFonts w:ascii="宋体" w:hAnsi="宋体" w:eastAsia="宋体" w:cs="宋体"/>
          <w:b/>
          <w:color w:val="000000"/>
          <w:kern w:val="0"/>
          <w:lang w:val="zh-CN"/>
        </w:rPr>
      </w:pPr>
      <w:r>
        <w:rPr>
          <w:rFonts w:hint="eastAsia" w:ascii="宋体" w:hAnsi="宋体" w:eastAsia="宋体" w:cs="宋体"/>
          <w:b/>
          <w:color w:val="000000" w:themeColor="text1"/>
          <w:kern w:val="0"/>
          <w:lang w:val="zh-CN"/>
          <w14:textFill>
            <w14:solidFill>
              <w14:schemeClr w14:val="tx1"/>
            </w14:solidFill>
          </w14:textFill>
        </w:rPr>
        <w:t>三、</w:t>
      </w:r>
      <w:r>
        <w:rPr>
          <w:rFonts w:hint="eastAsia" w:ascii="宋体" w:hAnsi="宋体" w:eastAsia="宋体" w:cs="宋体"/>
          <w:b/>
          <w:color w:val="000000"/>
          <w:kern w:val="0"/>
          <w:lang w:val="zh-CN"/>
        </w:rPr>
        <w:t>采购标的验收标准</w:t>
      </w:r>
    </w:p>
    <w:p w14:paraId="50101301">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整体项目验收由</w:t>
      </w:r>
      <w:r>
        <w:rPr>
          <w:rFonts w:hint="eastAsia" w:ascii="宋体" w:hAnsi="宋体" w:eastAsia="宋体" w:cs="宋体"/>
          <w:color w:val="000000" w:themeColor="text1"/>
          <w:kern w:val="0"/>
          <w:lang w:val="zh-CN"/>
          <w14:textFill>
            <w14:solidFill>
              <w14:schemeClr w14:val="tx1"/>
            </w14:solidFill>
          </w14:textFill>
        </w:rPr>
        <w:t>大生集团进行验收，必要时</w:t>
      </w:r>
      <w:r>
        <w:rPr>
          <w:rFonts w:hint="eastAsia" w:ascii="宋体" w:hAnsi="宋体" w:eastAsia="宋体" w:cs="宋体"/>
          <w:color w:val="000000"/>
          <w:kern w:val="0"/>
          <w:lang w:val="zh-CN"/>
        </w:rPr>
        <w:t>组织专家进行评审验收，需要在验收前提交验收文档，包含项目过程文档，不限于项目需求说明、概要设计、详细设计、数据库设计、系统测试报告、培训资料、</w:t>
      </w:r>
      <w:r>
        <w:rPr>
          <w:rFonts w:hint="eastAsia" w:ascii="宋体" w:hAnsi="宋体" w:eastAsia="宋体" w:cs="宋体"/>
          <w:color w:val="000000"/>
          <w:kern w:val="0"/>
        </w:rPr>
        <w:t>系统操作手册</w:t>
      </w:r>
      <w:r>
        <w:rPr>
          <w:rFonts w:hint="eastAsia" w:ascii="宋体" w:hAnsi="宋体" w:eastAsia="宋体" w:cs="宋体"/>
          <w:color w:val="000000"/>
          <w:kern w:val="0"/>
          <w:lang w:val="zh-CN"/>
        </w:rPr>
        <w:t>、试运行报告等</w:t>
      </w:r>
      <w:r>
        <w:rPr>
          <w:rFonts w:hint="eastAsia" w:ascii="宋体" w:hAnsi="宋体" w:eastAsia="宋体" w:cs="宋体"/>
          <w:color w:val="000000" w:themeColor="text1"/>
          <w:kern w:val="0"/>
          <w:lang w:val="zh-CN"/>
          <w14:textFill>
            <w14:solidFill>
              <w14:schemeClr w14:val="tx1"/>
            </w14:solidFill>
          </w14:textFill>
        </w:rPr>
        <w:t>。</w:t>
      </w:r>
    </w:p>
    <w:p w14:paraId="7BF4385D">
      <w:pPr>
        <w:tabs>
          <w:tab w:val="left" w:pos="0"/>
        </w:tabs>
        <w:spacing w:line="440" w:lineRule="exact"/>
        <w:ind w:firstLine="482" w:firstLineChars="200"/>
        <w:rPr>
          <w:rFonts w:ascii="宋体" w:hAnsi="宋体" w:eastAsia="宋体" w:cs="宋体"/>
          <w:b/>
          <w:color w:val="000000"/>
          <w:kern w:val="0"/>
          <w:lang w:val="zh-CN"/>
        </w:rPr>
      </w:pPr>
      <w:r>
        <w:rPr>
          <w:rFonts w:hint="eastAsia" w:ascii="宋体" w:hAnsi="宋体" w:eastAsia="宋体" w:cs="宋体"/>
          <w:b/>
          <w:color w:val="000000" w:themeColor="text1"/>
          <w:kern w:val="0"/>
          <w:lang w:val="zh-CN"/>
          <w14:textFill>
            <w14:solidFill>
              <w14:schemeClr w14:val="tx1"/>
            </w14:solidFill>
          </w14:textFill>
        </w:rPr>
        <w:t>四、其他</w:t>
      </w:r>
      <w:r>
        <w:rPr>
          <w:rFonts w:hint="eastAsia" w:ascii="宋体" w:hAnsi="宋体" w:eastAsia="宋体" w:cs="宋体"/>
          <w:b/>
          <w:color w:val="000000"/>
          <w:kern w:val="0"/>
          <w:lang w:val="zh-CN"/>
        </w:rPr>
        <w:t>要求</w:t>
      </w:r>
    </w:p>
    <w:p w14:paraId="6A1B5DC8">
      <w:pPr>
        <w:spacing w:line="440" w:lineRule="exact"/>
        <w:ind w:firstLine="480" w:firstLineChars="200"/>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供应商</w:t>
      </w:r>
      <w:r>
        <w:rPr>
          <w:rFonts w:hint="eastAsia" w:ascii="宋体" w:hAnsi="宋体" w:eastAsia="宋体" w:cs="宋体"/>
          <w:color w:val="000000"/>
          <w:kern w:val="0"/>
          <w:lang w:val="zh-CN"/>
        </w:rPr>
        <w:t>在系统开发涉及到的第三方接口对接不再另外向甲方收取费用。</w:t>
      </w:r>
    </w:p>
    <w:p w14:paraId="269413D4">
      <w:pPr>
        <w:spacing w:line="440" w:lineRule="exact"/>
        <w:ind w:firstLine="482" w:firstLineChars="200"/>
        <w:rPr>
          <w:rFonts w:ascii="宋体" w:hAnsi="宋体" w:eastAsia="宋体" w:cs="宋体"/>
          <w:b/>
          <w:color w:val="000000"/>
          <w:kern w:val="0"/>
          <w:lang w:val="zh-CN"/>
        </w:rPr>
      </w:pPr>
      <w:r>
        <w:rPr>
          <w:rFonts w:hint="eastAsia" w:ascii="宋体" w:hAnsi="宋体" w:eastAsia="宋体" w:cs="宋体"/>
          <w:b/>
          <w:color w:val="000000" w:themeColor="text1"/>
          <w:kern w:val="0"/>
          <w:lang w:val="zh-CN"/>
          <w14:textFill>
            <w14:solidFill>
              <w14:schemeClr w14:val="tx1"/>
            </w14:solidFill>
          </w14:textFill>
        </w:rPr>
        <w:t>五、</w:t>
      </w:r>
      <w:r>
        <w:rPr>
          <w:rFonts w:hint="eastAsia" w:ascii="宋体" w:hAnsi="宋体" w:eastAsia="宋体" w:cs="宋体"/>
          <w:b/>
          <w:color w:val="000000"/>
          <w:kern w:val="0"/>
          <w:lang w:val="zh-CN"/>
        </w:rPr>
        <w:t>付款方式</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5953"/>
      </w:tblGrid>
      <w:tr w14:paraId="6A0B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0" w:type="dxa"/>
            <w:noWrap/>
            <w:vAlign w:val="center"/>
          </w:tcPr>
          <w:p w14:paraId="10F69ABB">
            <w:pPr>
              <w:snapToGrid w:val="0"/>
              <w:spacing w:line="360" w:lineRule="auto"/>
              <w:jc w:val="center"/>
              <w:rPr>
                <w:rFonts w:ascii="宋体" w:hAnsi="宋体" w:eastAsia="宋体" w:cs="宋体"/>
                <w:b/>
                <w:color w:val="000000"/>
              </w:rPr>
            </w:pPr>
            <w:r>
              <w:rPr>
                <w:rFonts w:hint="eastAsia" w:ascii="宋体" w:hAnsi="宋体" w:eastAsia="宋体" w:cs="宋体"/>
                <w:b/>
                <w:color w:val="000000"/>
              </w:rPr>
              <w:t>序号</w:t>
            </w:r>
          </w:p>
        </w:tc>
        <w:tc>
          <w:tcPr>
            <w:tcW w:w="2835" w:type="dxa"/>
            <w:noWrap/>
            <w:vAlign w:val="center"/>
          </w:tcPr>
          <w:p w14:paraId="30BF44EA">
            <w:pPr>
              <w:snapToGrid w:val="0"/>
              <w:spacing w:line="360" w:lineRule="auto"/>
              <w:jc w:val="center"/>
              <w:rPr>
                <w:rFonts w:ascii="宋体" w:hAnsi="宋体" w:eastAsia="宋体" w:cs="宋体"/>
                <w:b/>
                <w:color w:val="000000"/>
              </w:rPr>
            </w:pPr>
            <w:r>
              <w:rPr>
                <w:rFonts w:hint="eastAsia" w:ascii="宋体" w:hAnsi="宋体" w:eastAsia="宋体" w:cs="宋体"/>
                <w:b/>
                <w:color w:val="000000"/>
              </w:rPr>
              <w:t>付款比例</w:t>
            </w:r>
          </w:p>
        </w:tc>
        <w:tc>
          <w:tcPr>
            <w:tcW w:w="5953" w:type="dxa"/>
            <w:noWrap/>
            <w:vAlign w:val="center"/>
          </w:tcPr>
          <w:p w14:paraId="7D0B85F2">
            <w:pPr>
              <w:snapToGrid w:val="0"/>
              <w:spacing w:line="360" w:lineRule="auto"/>
              <w:jc w:val="center"/>
              <w:rPr>
                <w:rFonts w:ascii="宋体" w:hAnsi="宋体" w:eastAsia="宋体" w:cs="宋体"/>
                <w:b/>
                <w:color w:val="000000"/>
              </w:rPr>
            </w:pPr>
            <w:r>
              <w:rPr>
                <w:rFonts w:hint="eastAsia" w:ascii="宋体" w:hAnsi="宋体" w:eastAsia="宋体" w:cs="宋体"/>
                <w:b/>
                <w:color w:val="000000"/>
              </w:rPr>
              <w:t>支付条件</w:t>
            </w:r>
          </w:p>
        </w:tc>
      </w:tr>
      <w:tr w14:paraId="369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14:paraId="5D02EC07">
            <w:pPr>
              <w:snapToGrid w:val="0"/>
              <w:spacing w:line="360" w:lineRule="auto"/>
              <w:jc w:val="center"/>
              <w:rPr>
                <w:rFonts w:ascii="宋体" w:hAnsi="宋体" w:eastAsia="宋体" w:cs="宋体"/>
                <w:color w:val="000000"/>
              </w:rPr>
            </w:pPr>
            <w:r>
              <w:rPr>
                <w:rFonts w:hint="eastAsia" w:ascii="宋体" w:hAnsi="宋体" w:eastAsia="宋体" w:cs="宋体"/>
                <w:color w:val="000000"/>
              </w:rPr>
              <w:t>1</w:t>
            </w:r>
          </w:p>
        </w:tc>
        <w:tc>
          <w:tcPr>
            <w:tcW w:w="2835" w:type="dxa"/>
            <w:noWrap/>
            <w:vAlign w:val="center"/>
          </w:tcPr>
          <w:p w14:paraId="52864CF0">
            <w:pPr>
              <w:snapToGrid w:val="0"/>
              <w:spacing w:line="360" w:lineRule="auto"/>
              <w:jc w:val="left"/>
              <w:rPr>
                <w:rFonts w:ascii="宋体" w:hAnsi="宋体" w:eastAsia="宋体" w:cs="宋体"/>
                <w:color w:val="000000"/>
              </w:rPr>
            </w:pPr>
            <w:r>
              <w:rPr>
                <w:rFonts w:hint="eastAsia" w:ascii="宋体" w:hAnsi="宋体" w:eastAsia="宋体" w:cs="宋体"/>
                <w:color w:val="000000"/>
              </w:rPr>
              <w:t>预付款：合同金额的</w:t>
            </w:r>
            <w:r>
              <w:rPr>
                <w:rFonts w:hint="eastAsia" w:ascii="宋体" w:hAnsi="宋体" w:eastAsia="宋体" w:cs="宋体"/>
                <w:color w:val="000000"/>
                <w:lang w:val="en-US" w:eastAsia="zh-CN"/>
              </w:rPr>
              <w:t>3</w:t>
            </w:r>
            <w:r>
              <w:rPr>
                <w:rFonts w:hint="eastAsia" w:ascii="宋体" w:hAnsi="宋体" w:eastAsia="宋体" w:cs="宋体"/>
                <w:color w:val="000000"/>
              </w:rPr>
              <w:t>0%</w:t>
            </w:r>
          </w:p>
        </w:tc>
        <w:tc>
          <w:tcPr>
            <w:tcW w:w="5953" w:type="dxa"/>
            <w:noWrap/>
            <w:vAlign w:val="center"/>
          </w:tcPr>
          <w:p w14:paraId="3D4EE37E">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w:t>
            </w:r>
            <w:r>
              <w:rPr>
                <w:rFonts w:hint="eastAsia" w:ascii="宋体" w:hAnsi="宋体" w:eastAsia="宋体" w:cs="宋体"/>
                <w:color w:val="000000"/>
                <w:lang w:val="en-US" w:eastAsia="zh-CN"/>
              </w:rPr>
              <w:t>3</w:t>
            </w:r>
            <w:r>
              <w:rPr>
                <w:rFonts w:hint="eastAsia" w:ascii="宋体" w:hAnsi="宋体" w:eastAsia="宋体" w:cs="宋体"/>
                <w:color w:val="000000"/>
              </w:rPr>
              <w:t>0%的等额增值税发票（甲方收到乙方提供的合格的履约保函）</w:t>
            </w:r>
          </w:p>
        </w:tc>
      </w:tr>
      <w:tr w14:paraId="20F9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14:paraId="4DF05890">
            <w:pPr>
              <w:snapToGrid w:val="0"/>
              <w:spacing w:line="360" w:lineRule="auto"/>
              <w:jc w:val="center"/>
              <w:rPr>
                <w:rFonts w:ascii="宋体" w:hAnsi="宋体" w:eastAsia="宋体" w:cs="宋体"/>
                <w:color w:val="000000"/>
              </w:rPr>
            </w:pPr>
            <w:r>
              <w:rPr>
                <w:rFonts w:hint="eastAsia" w:ascii="宋体" w:hAnsi="宋体" w:eastAsia="宋体" w:cs="宋体"/>
                <w:color w:val="000000"/>
              </w:rPr>
              <w:t>2</w:t>
            </w:r>
          </w:p>
        </w:tc>
        <w:tc>
          <w:tcPr>
            <w:tcW w:w="2835" w:type="dxa"/>
            <w:noWrap/>
            <w:vAlign w:val="center"/>
          </w:tcPr>
          <w:p w14:paraId="30B2055B">
            <w:pPr>
              <w:snapToGrid w:val="0"/>
              <w:spacing w:line="360" w:lineRule="auto"/>
              <w:jc w:val="left"/>
              <w:rPr>
                <w:rFonts w:ascii="宋体" w:hAnsi="宋体" w:eastAsia="宋体" w:cs="宋体"/>
                <w:color w:val="000000"/>
              </w:rPr>
            </w:pPr>
            <w:r>
              <w:rPr>
                <w:rFonts w:hint="eastAsia" w:ascii="宋体" w:hAnsi="宋体" w:eastAsia="宋体" w:cs="宋体"/>
                <w:color w:val="000000"/>
              </w:rPr>
              <w:t>阶段付款：合同金额的</w:t>
            </w:r>
            <w:r>
              <w:rPr>
                <w:rFonts w:hint="eastAsia" w:ascii="宋体" w:hAnsi="宋体" w:eastAsia="宋体" w:cs="宋体"/>
                <w:color w:val="000000"/>
                <w:lang w:val="en-US" w:eastAsia="zh-CN"/>
              </w:rPr>
              <w:t>4</w:t>
            </w:r>
            <w:r>
              <w:rPr>
                <w:rFonts w:hint="eastAsia" w:ascii="宋体" w:hAnsi="宋体" w:eastAsia="宋体" w:cs="宋体"/>
                <w:color w:val="000000"/>
              </w:rPr>
              <w:t>0%</w:t>
            </w:r>
          </w:p>
        </w:tc>
        <w:tc>
          <w:tcPr>
            <w:tcW w:w="5953" w:type="dxa"/>
            <w:noWrap/>
            <w:vAlign w:val="center"/>
          </w:tcPr>
          <w:p w14:paraId="6E05FA70">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w:t>
            </w:r>
            <w:r>
              <w:rPr>
                <w:rFonts w:hint="eastAsia" w:ascii="宋体" w:hAnsi="宋体" w:eastAsia="宋体" w:cs="宋体"/>
                <w:color w:val="000000"/>
                <w:lang w:val="en-US" w:eastAsia="zh-CN"/>
              </w:rPr>
              <w:t>4</w:t>
            </w:r>
            <w:r>
              <w:rPr>
                <w:rFonts w:hint="eastAsia" w:ascii="宋体" w:hAnsi="宋体" w:eastAsia="宋体" w:cs="宋体"/>
                <w:color w:val="000000"/>
              </w:rPr>
              <w:t>0%的等额增值税发票（甲方确认实施方案及需求分析报告，甲方系统安装测试完成后）</w:t>
            </w:r>
          </w:p>
        </w:tc>
      </w:tr>
      <w:tr w14:paraId="3159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noWrap/>
            <w:vAlign w:val="center"/>
          </w:tcPr>
          <w:p w14:paraId="597DF739">
            <w:pPr>
              <w:snapToGrid w:val="0"/>
              <w:spacing w:line="360" w:lineRule="auto"/>
              <w:jc w:val="center"/>
              <w:rPr>
                <w:rFonts w:ascii="宋体" w:hAnsi="宋体" w:eastAsia="宋体" w:cs="宋体"/>
                <w:color w:val="000000"/>
              </w:rPr>
            </w:pPr>
            <w:r>
              <w:rPr>
                <w:rFonts w:hint="eastAsia" w:ascii="宋体" w:hAnsi="宋体" w:eastAsia="宋体" w:cs="宋体"/>
                <w:color w:val="000000"/>
              </w:rPr>
              <w:t>3</w:t>
            </w:r>
          </w:p>
        </w:tc>
        <w:tc>
          <w:tcPr>
            <w:tcW w:w="2835" w:type="dxa"/>
            <w:noWrap/>
            <w:vAlign w:val="center"/>
          </w:tcPr>
          <w:p w14:paraId="68BECD2B">
            <w:pPr>
              <w:snapToGrid w:val="0"/>
              <w:spacing w:line="360" w:lineRule="auto"/>
              <w:jc w:val="left"/>
              <w:rPr>
                <w:rFonts w:ascii="宋体" w:hAnsi="宋体" w:eastAsia="宋体" w:cs="宋体"/>
                <w:color w:val="000000"/>
              </w:rPr>
            </w:pPr>
            <w:r>
              <w:rPr>
                <w:rFonts w:hint="eastAsia" w:ascii="宋体" w:hAnsi="宋体" w:eastAsia="宋体" w:cs="宋体"/>
                <w:color w:val="000000"/>
              </w:rPr>
              <w:t>阶段付款：合同金额的25%</w:t>
            </w:r>
          </w:p>
        </w:tc>
        <w:tc>
          <w:tcPr>
            <w:tcW w:w="5953" w:type="dxa"/>
            <w:noWrap/>
            <w:vAlign w:val="center"/>
          </w:tcPr>
          <w:p w14:paraId="3DBD2A5F">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合同金额25%的等额增值税发票（系统验收通过后）</w:t>
            </w:r>
          </w:p>
        </w:tc>
      </w:tr>
      <w:tr w14:paraId="6FB4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noWrap/>
            <w:vAlign w:val="center"/>
          </w:tcPr>
          <w:p w14:paraId="5528D6FB">
            <w:pPr>
              <w:snapToGrid w:val="0"/>
              <w:spacing w:line="360" w:lineRule="auto"/>
              <w:jc w:val="center"/>
              <w:rPr>
                <w:rFonts w:ascii="宋体" w:hAnsi="宋体" w:eastAsia="宋体" w:cs="宋体"/>
                <w:color w:val="000000"/>
              </w:rPr>
            </w:pPr>
            <w:r>
              <w:rPr>
                <w:rFonts w:hint="eastAsia" w:ascii="宋体" w:hAnsi="宋体" w:eastAsia="宋体" w:cs="宋体"/>
                <w:color w:val="000000"/>
              </w:rPr>
              <w:t>4</w:t>
            </w:r>
          </w:p>
        </w:tc>
        <w:tc>
          <w:tcPr>
            <w:tcW w:w="2835" w:type="dxa"/>
            <w:noWrap/>
            <w:vAlign w:val="center"/>
          </w:tcPr>
          <w:p w14:paraId="392B1166">
            <w:pPr>
              <w:snapToGrid w:val="0"/>
              <w:spacing w:line="360" w:lineRule="auto"/>
              <w:jc w:val="left"/>
              <w:rPr>
                <w:rFonts w:ascii="宋体" w:hAnsi="宋体" w:eastAsia="宋体" w:cs="宋体"/>
                <w:color w:val="000000"/>
              </w:rPr>
            </w:pPr>
            <w:r>
              <w:rPr>
                <w:rFonts w:hint="eastAsia" w:ascii="宋体" w:hAnsi="宋体" w:eastAsia="宋体" w:cs="宋体"/>
                <w:color w:val="000000"/>
              </w:rPr>
              <w:t>阶段付款：合同金额的5%</w:t>
            </w:r>
          </w:p>
        </w:tc>
        <w:tc>
          <w:tcPr>
            <w:tcW w:w="5953" w:type="dxa"/>
            <w:noWrap/>
            <w:vAlign w:val="center"/>
          </w:tcPr>
          <w:p w14:paraId="240F8DB2">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合同金额5%的等额增值税发票（2年质保期结束后）</w:t>
            </w:r>
          </w:p>
        </w:tc>
      </w:tr>
    </w:tbl>
    <w:p w14:paraId="098F4672">
      <w:pPr>
        <w:spacing w:line="360" w:lineRule="auto"/>
        <w:ind w:firstLine="480" w:firstLineChars="200"/>
        <w:rPr>
          <w:rFonts w:ascii="宋体" w:hAnsi="宋体" w:eastAsia="宋体" w:cs="宋体"/>
          <w:b/>
        </w:rPr>
      </w:pPr>
      <w:r>
        <w:rPr>
          <w:rFonts w:hint="eastAsia" w:ascii="宋体" w:hAnsi="宋体" w:eastAsia="宋体" w:cs="宋体"/>
          <w:color w:val="000000" w:themeColor="text1"/>
          <w:kern w:val="0"/>
          <w:lang w:val="zh-CN"/>
          <w14:textFill>
            <w14:solidFill>
              <w14:schemeClr w14:val="tx1"/>
            </w14:solidFill>
          </w14:textFill>
        </w:rPr>
        <w:br w:type="page"/>
      </w:r>
    </w:p>
    <w:p w14:paraId="0E20CCB2">
      <w:pPr>
        <w:widowControl/>
        <w:jc w:val="center"/>
        <w:rPr>
          <w:rFonts w:ascii="宋体" w:hAnsi="宋体" w:eastAsia="宋体" w:cs="宋体"/>
          <w:b/>
          <w:bCs/>
          <w:w w:val="80"/>
          <w:sz w:val="36"/>
          <w:szCs w:val="36"/>
        </w:rPr>
      </w:pPr>
      <w:r>
        <w:rPr>
          <w:rFonts w:hint="eastAsia" w:ascii="宋体" w:hAnsi="宋体" w:eastAsia="宋体" w:cs="宋体"/>
          <w:b/>
          <w:bCs/>
          <w:w w:val="80"/>
          <w:sz w:val="36"/>
          <w:szCs w:val="36"/>
        </w:rPr>
        <w:t>第四章</w:t>
      </w:r>
      <w:bookmarkStart w:id="5" w:name="_Toc182848996"/>
      <w:r>
        <w:rPr>
          <w:rFonts w:hint="eastAsia" w:ascii="宋体" w:hAnsi="宋体" w:eastAsia="宋体" w:cs="宋体"/>
          <w:b/>
          <w:bCs/>
          <w:w w:val="80"/>
          <w:sz w:val="36"/>
          <w:szCs w:val="36"/>
        </w:rPr>
        <w:t xml:space="preserve">  评审程序和方法</w:t>
      </w:r>
    </w:p>
    <w:p w14:paraId="48927F18">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一、采购人委托采购代理机构组织竞争性谈判</w:t>
      </w:r>
    </w:p>
    <w:p w14:paraId="2D21091C">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 成立竞争性谈判小组。</w:t>
      </w:r>
    </w:p>
    <w:p w14:paraId="5366AEE3">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 谈判响应供应商的法定代表人或被委托受权人须持身份证准时参加竞争性谈判评审会。</w:t>
      </w:r>
    </w:p>
    <w:p w14:paraId="051F4246">
      <w:pPr>
        <w:snapToGrid w:val="0"/>
        <w:spacing w:line="360" w:lineRule="auto"/>
        <w:ind w:firstLine="482" w:firstLineChars="200"/>
        <w:outlineLvl w:val="1"/>
        <w:rPr>
          <w:rFonts w:ascii="宋体" w:hAnsi="宋体" w:eastAsia="宋体" w:cs="宋体"/>
        </w:rPr>
      </w:pPr>
      <w:r>
        <w:rPr>
          <w:rFonts w:hint="eastAsia" w:ascii="宋体" w:hAnsi="宋体" w:eastAsia="宋体" w:cs="宋体"/>
          <w:b/>
          <w:bCs/>
        </w:rPr>
        <w:t>二、</w:t>
      </w:r>
      <w:bookmarkStart w:id="6" w:name="_Hlk59967391"/>
      <w:r>
        <w:rPr>
          <w:rFonts w:hint="eastAsia" w:ascii="宋体" w:hAnsi="宋体" w:eastAsia="宋体" w:cs="宋体"/>
          <w:b/>
          <w:bCs/>
        </w:rPr>
        <w:t>竞争性谈判采购评审活动开始</w:t>
      </w:r>
      <w:bookmarkEnd w:id="6"/>
    </w:p>
    <w:p w14:paraId="27EF8EB3">
      <w:pPr>
        <w:adjustRightInd w:val="0"/>
        <w:snapToGrid w:val="0"/>
        <w:spacing w:line="360" w:lineRule="auto"/>
        <w:ind w:firstLine="484" w:firstLineChars="202"/>
        <w:rPr>
          <w:rFonts w:ascii="宋体" w:hAnsi="宋体" w:eastAsia="宋体" w:cs="宋体"/>
        </w:rPr>
      </w:pPr>
      <w:bookmarkStart w:id="7" w:name="_Hlk45420790"/>
      <w:r>
        <w:rPr>
          <w:rFonts w:hint="eastAsia" w:ascii="宋体" w:hAnsi="宋体" w:eastAsia="宋体" w:cs="宋体"/>
        </w:rPr>
        <w:t>1.谈判响应供应商不足3家的，竞争性谈判采购评审活动不得开始，供应商的竞争性谈判响应文件不得开启。</w:t>
      </w:r>
      <w:bookmarkEnd w:id="7"/>
    </w:p>
    <w:p w14:paraId="09FA6F52">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2.采购代理机构主持竞争性谈判采购评审活动并记录，及时处理谈判响应供应商代表提出的询问或回避申请。</w:t>
      </w:r>
    </w:p>
    <w:p w14:paraId="70C9C653">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3.竞争性谈判采购评审活动开始后谈判响应供应商不得撤回竞争性谈判响应文件。</w:t>
      </w:r>
    </w:p>
    <w:p w14:paraId="016F0EC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竞争性谈判采购评审活动开始后，采购人委托竞争性谈判小组根据竞争性谈判文件载明的资格审查要求，对供应商的资格进行审查，合格的谈判响应供应商进入项目评审谈判，参与项目的技术标、价格标竞争性谈判的评审综合环节。</w:t>
      </w:r>
    </w:p>
    <w:p w14:paraId="1AC955A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5.资格审查时间：竞争性谈判采购评审活动开始后当即开始。</w:t>
      </w:r>
    </w:p>
    <w:p w14:paraId="09C00EC4">
      <w:pPr>
        <w:adjustRightInd w:val="0"/>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rPr>
        <w:t>三、竞争性谈判评审事项</w:t>
      </w:r>
    </w:p>
    <w:p w14:paraId="1A9942CF">
      <w:pPr>
        <w:snapToGrid w:val="0"/>
        <w:spacing w:line="360" w:lineRule="auto"/>
        <w:ind w:firstLine="480" w:firstLineChars="200"/>
        <w:rPr>
          <w:rFonts w:ascii="宋体" w:hAnsi="宋体" w:eastAsia="宋体" w:cs="宋体"/>
        </w:rPr>
      </w:pPr>
      <w:r>
        <w:rPr>
          <w:rFonts w:hint="eastAsia" w:ascii="宋体" w:hAnsi="宋体" w:eastAsia="宋体" w:cs="宋体"/>
        </w:rPr>
        <w:t>1.</w:t>
      </w:r>
      <w:bookmarkStart w:id="8" w:name="_Hlk45420967"/>
      <w:r>
        <w:rPr>
          <w:rFonts w:hint="eastAsia" w:ascii="宋体" w:hAnsi="宋体" w:eastAsia="宋体" w:cs="宋体"/>
        </w:rPr>
        <w:t>资格审查后符合要求的谈判响应供应商不足3家的，不得评审谈判；</w:t>
      </w:r>
      <w:bookmarkEnd w:id="8"/>
    </w:p>
    <w:p w14:paraId="2F81AE07">
      <w:pPr>
        <w:snapToGrid w:val="0"/>
        <w:spacing w:line="360" w:lineRule="auto"/>
        <w:ind w:firstLine="480" w:firstLineChars="200"/>
        <w:rPr>
          <w:rFonts w:ascii="宋体" w:hAnsi="宋体" w:eastAsia="宋体" w:cs="宋体"/>
        </w:rPr>
      </w:pPr>
      <w:r>
        <w:rPr>
          <w:rFonts w:hint="eastAsia" w:ascii="宋体" w:hAnsi="宋体" w:eastAsia="宋体" w:cs="宋体"/>
        </w:rPr>
        <w:t>2.评审谈判时间：资审后当即开始；</w:t>
      </w:r>
    </w:p>
    <w:p w14:paraId="32561ED0">
      <w:pPr>
        <w:adjustRightInd w:val="0"/>
        <w:snapToGrid w:val="0"/>
        <w:spacing w:line="360" w:lineRule="auto"/>
        <w:ind w:firstLine="484" w:firstLineChars="202"/>
        <w:rPr>
          <w:rFonts w:ascii="宋体" w:hAnsi="宋体" w:eastAsia="宋体" w:cs="宋体"/>
        </w:rPr>
      </w:pPr>
      <w:bookmarkStart w:id="9" w:name="_Hlk45421153"/>
      <w:r>
        <w:rPr>
          <w:rFonts w:hint="eastAsia" w:ascii="宋体" w:hAnsi="宋体" w:eastAsia="宋体" w:cs="宋体"/>
        </w:rPr>
        <w:t>3.采购代理机构负责组织评审谈判活动工作，并履行下列职责：</w:t>
      </w:r>
    </w:p>
    <w:p w14:paraId="05CFBA74">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（1）对评审专家在采购活动中的职责履行情况予以记录。</w:t>
      </w:r>
    </w:p>
    <w:p w14:paraId="1961EE1B">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（2）宣布评审谈判活动纪律。</w:t>
      </w:r>
    </w:p>
    <w:p w14:paraId="5FDA550E">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（3）公布谈判响应供应商名单，告知评审专家应当回避的情形。</w:t>
      </w:r>
    </w:p>
    <w:p w14:paraId="13145E2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（4）组织竞争性谈判小组推选评审谈判活动组长，采购人代表不得担任组长。</w:t>
      </w:r>
    </w:p>
    <w:p w14:paraId="48E85CEF">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在评审谈判活动期间采取必要的通讯管理措施，保证评审谈判活动活动不受外界干扰；除采购人代表、评审谈判活动现场的组织人员外，采购人的其他工作人员以及与评审谈判活动工作无关的人员不得进入评审谈判活动现场。</w:t>
      </w:r>
    </w:p>
    <w:p w14:paraId="008DE0BE">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（6）根据竞争性谈判小组的要求介绍采购相关政策法规、竞争性谈判文件。采购人、采购代理机构不得向竞争性谈判小组的评审专家作倾向性、误导性的解释或者说明。</w:t>
      </w:r>
    </w:p>
    <w:p w14:paraId="2C387E1B">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维护评审谈判活动秩序，监督竞争性谈判小组依照竞争性谈判文件规定的评审谈判活动程序、方法和标准进行独立评审，及时制止和纠正采购人代表、评审专家的倾向性言论或者违法违规行为；采购人可以在评审谈判活动前说明项目背景和采购需求，说明内容不得含有歧视性、倾向性意见，不得超出竞争性谈判文件所述范围。说明应当提交书面材料，并随采购文件一并存档。</w:t>
      </w:r>
    </w:p>
    <w:p w14:paraId="71EFDDB2">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8）核对评审谈判活动结果，除资格性审查认定错误和价格计算错误外，采购人或者采购代理机构不得以任何理由组织重新评审。采购人、采购代理机构发现谈判小组未按照采购文件规定的评定成交的标准进行评审的，应当重新开展采购活动。</w:t>
      </w:r>
    </w:p>
    <w:p w14:paraId="47D1A5FA">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（9）处理与评审谈判活动有关的其他事项。</w:t>
      </w:r>
    </w:p>
    <w:bookmarkEnd w:id="9"/>
    <w:p w14:paraId="6801CFCF">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4.竞争性谈判小组负责具体的竞争性谈判评审事务，并履行以下职责：</w:t>
      </w:r>
    </w:p>
    <w:p w14:paraId="5773855B">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（1）审查合格谈判响应供应商的价格响应文件是否实质性响应竞争性谈判文件要求，并做出评价；</w:t>
      </w:r>
    </w:p>
    <w:p w14:paraId="24C84084">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（2）可以要求谈判响应供应商对竞争性谈判响应文件中的有关事项做出解释或澄清；</w:t>
      </w:r>
    </w:p>
    <w:p w14:paraId="1901ED33">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（3）采购人授权竞争性谈判小组根据质量和服务均能满足采购文件实质性响应要求且最后报价最低的原则确定本项目的成交供应商。</w:t>
      </w:r>
    </w:p>
    <w:p w14:paraId="1A105B9F">
      <w:pPr>
        <w:snapToGrid w:val="0"/>
        <w:spacing w:line="360" w:lineRule="auto"/>
        <w:ind w:left="2" w:firstLine="484" w:firstLineChars="202"/>
        <w:rPr>
          <w:rFonts w:ascii="宋体" w:hAnsi="宋体" w:eastAsia="宋体" w:cs="宋体"/>
        </w:rPr>
      </w:pPr>
      <w:r>
        <w:rPr>
          <w:rFonts w:hint="eastAsia" w:ascii="宋体" w:hAnsi="宋体" w:eastAsia="宋体" w:cs="宋体"/>
        </w:rPr>
        <w:t>（4）竞争性谈判小组发现竞争性谈判文件存在歧义、重大缺陷导致评审谈判活动竞争性谈判工作无法进行，或者竞争性谈判文件内容违反国家有关强制性规定的，应当停止竞争性谈判评审工作并向采购人或者采购代理机构说明情况且作书面记录。采购人或者采购代理机构确认后，应当修改竞争性谈判文件，重新组织采购活动。</w:t>
      </w:r>
    </w:p>
    <w:p w14:paraId="3EA391CE">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5.竞争性谈判小组成员应当独立履行下列义务：</w:t>
      </w:r>
    </w:p>
    <w:p w14:paraId="4499DE37">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（1）遵纪守法，客观、公正、廉洁地履行职责；</w:t>
      </w:r>
    </w:p>
    <w:p w14:paraId="1CC6998A">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竞争性谈判小组成员应当按照客观、公正、审慎的原则，根据竞争性谈判文件规定的评审程序、评审方法和评审标准进行独立评审。竞争性谈判文件内容违反国家有关强制性规定的，竞争性谈判小组应当停止评审；</w:t>
      </w:r>
    </w:p>
    <w:p w14:paraId="7B5AB8EA">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（3）竞争性谈判小组成员应当遵守评审工作纪律，不得泄露竞争性谈判评审情况和竞争性谈判评审中获悉的商业秘密；</w:t>
      </w:r>
    </w:p>
    <w:p w14:paraId="6ABC0427">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（4）竞争性谈判评审程序中的有关记录由竞争性谈判小组成员签名，存档备查。</w:t>
      </w:r>
    </w:p>
    <w:p w14:paraId="12D9CB9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（5）竞争性谈判小组成员应当在评审报告上签字，对自己的评审意见承担法律责任。对评审报告有异议的，应当在评审报告上签署不同意见，并说明理由，否则视为同意评审报告。</w:t>
      </w:r>
    </w:p>
    <w:p w14:paraId="5E3A7937">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（6）竞争性谈判小组成员在评审过程中发现供应商有行贿、提供虚假材料或者串通等违法行为的，应当及时向财政部门报告。</w:t>
      </w:r>
    </w:p>
    <w:p w14:paraId="1D7EB68A">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（7）竞争性谈判小组成员在竞争性谈判评审过程中受到非法干预的，应当及时向财政、监察等部门举报。</w:t>
      </w:r>
    </w:p>
    <w:p w14:paraId="3D38507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（8）竞争性谈判小组成员有义务及责任配合采购人答复供应商提出的质疑，配合监管部门的投诉处理和监督检查工作。</w:t>
      </w:r>
    </w:p>
    <w:p w14:paraId="6F62548D">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6.有关人员对评审谈判活动情况以及在评审谈判活动过程中获悉的商业秘密负有保密责任。</w:t>
      </w:r>
    </w:p>
    <w:p w14:paraId="1FC26A2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竞争性谈判开标后，直到公告项目成交结果，发出成交通知书并授予成交人合同为止，凡属于评审、澄清、评价和比较竞争性谈判响应的所有资料及有关授予合同等的相关信息，都严禁向响应供应商或与竞争性谈判评审无关的其他人（单位）泄露。</w:t>
      </w:r>
    </w:p>
    <w:p w14:paraId="65D31CF8">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8.在竞争性谈判响应文件的评审、澄清、评价和比较的过程中，供应商对采购人和竞争性谈判小组成员有施加影响的任何行为，都将取消其竞争性谈判资格。在授予合同的过程中，供应商对采购人和竞争性谈判小组成员有施加影响的任何行为，都将取消其成交资格。</w:t>
      </w:r>
    </w:p>
    <w:p w14:paraId="5F1831DD">
      <w:pPr>
        <w:adjustRightInd w:val="0"/>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rPr>
        <w:t>四、竞争性谈判评审程序</w:t>
      </w:r>
    </w:p>
    <w:p w14:paraId="4CB85526">
      <w:pPr>
        <w:snapToGrid w:val="0"/>
        <w:spacing w:line="360" w:lineRule="auto"/>
        <w:ind w:firstLine="484" w:firstLineChars="202"/>
        <w:rPr>
          <w:rFonts w:ascii="宋体" w:hAnsi="宋体" w:eastAsia="宋体" w:cs="宋体"/>
        </w:rPr>
      </w:pPr>
      <w:r>
        <w:rPr>
          <w:rFonts w:hint="eastAsia" w:ascii="宋体" w:hAnsi="宋体" w:eastAsia="宋体" w:cs="宋体"/>
        </w:rPr>
        <w:t>1.竞争性谈判小组依据《政府采购非招标采购方式管理办法》以及相关法规，遵循“公开、公平、公正、择优、信用”的原则进行竞争性谈判评审。</w:t>
      </w:r>
    </w:p>
    <w:p w14:paraId="738EC172">
      <w:pPr>
        <w:snapToGrid w:val="0"/>
        <w:spacing w:line="360" w:lineRule="auto"/>
        <w:ind w:firstLine="484" w:firstLineChars="202"/>
        <w:rPr>
          <w:rFonts w:ascii="宋体" w:hAnsi="宋体" w:eastAsia="宋体" w:cs="宋体"/>
        </w:rPr>
      </w:pPr>
      <w:r>
        <w:rPr>
          <w:rFonts w:hint="eastAsia" w:ascii="宋体" w:hAnsi="宋体" w:eastAsia="宋体" w:cs="宋体"/>
        </w:rPr>
        <w:t>2.竞争性谈判小组将按照竞争性谈判文件的规定，只对资格审查合格的供应商的竞争性谈判响应文件进行评审和比较。</w:t>
      </w:r>
    </w:p>
    <w:p w14:paraId="46015DF9">
      <w:pPr>
        <w:snapToGrid w:val="0"/>
        <w:spacing w:line="360" w:lineRule="auto"/>
        <w:ind w:firstLine="484" w:firstLineChars="20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（2）项目首次报价响应评审</w:t>
      </w:r>
    </w:p>
    <w:p w14:paraId="46675ABF">
      <w:pPr>
        <w:snapToGrid w:val="0"/>
        <w:spacing w:line="360" w:lineRule="auto"/>
        <w:ind w:firstLine="482" w:firstLineChars="200"/>
        <w:rPr>
          <w:rFonts w:ascii="宋体" w:hAnsi="宋体" w:eastAsia="宋体" w:cs="宋体"/>
          <w:b/>
          <w:bCs/>
          <w:color w:val="000000" w:themeColor="text1"/>
          <w:u w:val="thick" w:color="FF0000"/>
          <w14:textFill>
            <w14:solidFill>
              <w14:schemeClr w14:val="tx1"/>
            </w14:solidFill>
          </w14:textFill>
        </w:rPr>
      </w:pPr>
      <w:r>
        <w:rPr>
          <w:rFonts w:hint="eastAsia" w:ascii="宋体" w:hAnsi="宋体" w:eastAsia="宋体" w:cs="宋体"/>
          <w:b/>
          <w:bCs/>
          <w:color w:val="000000" w:themeColor="text1"/>
          <w:u w:val="thick" w:color="FF0000"/>
          <w14:textFill>
            <w14:solidFill>
              <w14:schemeClr w14:val="tx1"/>
            </w14:solidFill>
          </w14:textFill>
        </w:rPr>
        <w:t>本次项目最高总限价人民币</w:t>
      </w:r>
      <w:r>
        <w:rPr>
          <w:rFonts w:hint="eastAsia" w:ascii="宋体" w:hAnsi="宋体" w:eastAsia="宋体" w:cs="宋体"/>
          <w:b/>
          <w:bCs/>
          <w:color w:val="000000" w:themeColor="text1"/>
          <w:u w:val="thick" w:color="FF0000"/>
          <w:lang w:val="en-US" w:eastAsia="zh-CN"/>
          <w14:textFill>
            <w14:solidFill>
              <w14:schemeClr w14:val="tx1"/>
            </w14:solidFill>
          </w14:textFill>
        </w:rPr>
        <w:t>68</w:t>
      </w:r>
      <w:r>
        <w:rPr>
          <w:rFonts w:hint="eastAsia" w:ascii="宋体" w:hAnsi="宋体" w:eastAsia="宋体" w:cs="宋体"/>
          <w:b/>
          <w:bCs/>
          <w:color w:val="000000" w:themeColor="text1"/>
          <w:u w:val="thick" w:color="FF0000"/>
          <w14:textFill>
            <w14:solidFill>
              <w14:schemeClr w14:val="tx1"/>
            </w14:solidFill>
          </w14:textFill>
        </w:rPr>
        <w:t>0000元。</w:t>
      </w:r>
    </w:p>
    <w:p w14:paraId="1384B6C9">
      <w:pPr>
        <w:snapToGrid w:val="0"/>
        <w:spacing w:line="360" w:lineRule="auto"/>
        <w:ind w:firstLine="484" w:firstLineChars="20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竞争性谈判小组对供应商提交的竞争性谈判响应文件进行实质性响应评审后，根据竞争性谈判文件规定的程序、评定成交的标准等事项，结合供应商针对本项目提交的首次报价与实质性响应竞争性谈判文件要求的供应商进行谈判。未实质性响应竞争性谈判文件的响应文件按无效处理，</w:t>
      </w:r>
      <w:bookmarkStart w:id="10" w:name="_Hlk59975049"/>
      <w:r>
        <w:rPr>
          <w:rFonts w:hint="eastAsia" w:ascii="宋体" w:hAnsi="宋体" w:eastAsia="宋体" w:cs="宋体"/>
          <w:color w:val="000000" w:themeColor="text1"/>
          <w14:textFill>
            <w14:solidFill>
              <w14:schemeClr w14:val="tx1"/>
            </w14:solidFill>
          </w14:textFill>
        </w:rPr>
        <w:t>竞争性</w:t>
      </w:r>
      <w:bookmarkEnd w:id="10"/>
      <w:r>
        <w:rPr>
          <w:rFonts w:hint="eastAsia" w:ascii="宋体" w:hAnsi="宋体" w:eastAsia="宋体" w:cs="宋体"/>
          <w:color w:val="000000" w:themeColor="text1"/>
          <w14:textFill>
            <w14:solidFill>
              <w14:schemeClr w14:val="tx1"/>
            </w14:solidFill>
          </w14:textFill>
        </w:rPr>
        <w:t>谈判小组应当告知有关供应商。</w:t>
      </w:r>
    </w:p>
    <w:p w14:paraId="1CCE6B51">
      <w:pPr>
        <w:snapToGrid w:val="0"/>
        <w:spacing w:line="360" w:lineRule="auto"/>
        <w:ind w:firstLine="484" w:firstLineChars="20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谈判过程中，竞争性谈判小组可以根据竞争性谈判文件和谈判情况实质性变动采购需求中的技术、服务要求以及合同草案条款，但不得变动谈判文件中的其他内容。实质性变动的内容，须经采购人代表确认。</w:t>
      </w:r>
    </w:p>
    <w:p w14:paraId="134D5FFD">
      <w:pPr>
        <w:snapToGrid w:val="0"/>
        <w:spacing w:line="360" w:lineRule="auto"/>
        <w:ind w:firstLine="484" w:firstLineChars="20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（2）对竞争性谈判文件作出的实质性变动是竞争性谈判文件的有效组成部分，竞争性谈判小组应当及时以书面形式同时通知所有参加竞争性谈判的供应商。</w:t>
      </w:r>
    </w:p>
    <w:p w14:paraId="7B7E6F7F">
      <w:pPr>
        <w:snapToGrid w:val="0"/>
        <w:spacing w:line="360" w:lineRule="auto"/>
        <w:ind w:firstLine="484" w:firstLineChars="20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4.本项目竞争性谈判文件能够详细列明采购标的的技术、服务要求，在谈判结束后，谈判小组应当要求所有继续参加谈判的供应商在规定时间内提交最后报价，提交最后报价的供应商不得少于3家。</w:t>
      </w:r>
    </w:p>
    <w:p w14:paraId="75D2213A">
      <w:pPr>
        <w:snapToGrid w:val="0"/>
        <w:spacing w:line="360" w:lineRule="auto"/>
        <w:ind w:firstLine="484" w:firstLineChars="20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（1）最后报价是供应商响应文件的有效组成部分。</w:t>
      </w:r>
    </w:p>
    <w:p w14:paraId="7347CC7E">
      <w:pPr>
        <w:snapToGrid w:val="0"/>
        <w:spacing w:line="360" w:lineRule="auto"/>
        <w:ind w:firstLine="484" w:firstLineChars="20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（2）已提交响应文件的供应商，在提交最后报价之前，可以根据谈判情况退出谈判。</w:t>
      </w:r>
    </w:p>
    <w:p w14:paraId="1C6067A2">
      <w:pPr>
        <w:snapToGrid w:val="0"/>
        <w:spacing w:line="360" w:lineRule="auto"/>
        <w:ind w:firstLine="484" w:firstLineChars="202"/>
        <w:rPr>
          <w:rFonts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bookmarkStart w:id="11" w:name="_Hlk59991485"/>
      <w:r>
        <w:rPr>
          <w:rFonts w:hint="eastAsia" w:ascii="宋体" w:hAnsi="宋体" w:eastAsia="宋体" w:cs="宋体"/>
          <w:b/>
          <w:bCs/>
          <w:color w:val="000000" w:themeColor="text1"/>
          <w:u w:val="thick" w:color="FF0000"/>
          <w14:textFill>
            <w14:solidFill>
              <w14:schemeClr w14:val="tx1"/>
            </w14:solidFill>
          </w14:textFill>
        </w:rPr>
        <w:t>本项目最后报价不得高于供应商的首次报价，否则作无效响应处理</w:t>
      </w:r>
      <w:r>
        <w:rPr>
          <w:rFonts w:hint="eastAsia" w:ascii="宋体" w:hAnsi="宋体" w:eastAsia="宋体" w:cs="宋体"/>
          <w:b/>
          <w:bCs/>
          <w:color w:val="000000" w:themeColor="text1"/>
          <w14:textFill>
            <w14:solidFill>
              <w14:schemeClr w14:val="tx1"/>
            </w14:solidFill>
          </w14:textFill>
        </w:rPr>
        <w:t>。</w:t>
      </w:r>
      <w:bookmarkEnd w:id="11"/>
    </w:p>
    <w:bookmarkEnd w:id="5"/>
    <w:p w14:paraId="029F48DF">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rPr>
        <w:t>五、出现下列情形之一的，作无效竞争性谈判处理</w:t>
      </w:r>
    </w:p>
    <w:p w14:paraId="100F6B77">
      <w:pPr>
        <w:snapToGrid w:val="0"/>
        <w:spacing w:line="360" w:lineRule="auto"/>
        <w:ind w:firstLine="484" w:firstLineChars="202"/>
        <w:rPr>
          <w:rFonts w:ascii="宋体" w:hAnsi="宋体" w:eastAsia="宋体" w:cs="宋体"/>
        </w:rPr>
      </w:pPr>
      <w:r>
        <w:rPr>
          <w:rFonts w:hint="eastAsia" w:ascii="宋体" w:hAnsi="宋体" w:eastAsia="宋体" w:cs="宋体"/>
        </w:rPr>
        <w:t>1.竞争性谈判响应文件未按竞争性谈判文件要求装订、密封、签署、盖章及主要资料不齐全的；</w:t>
      </w:r>
    </w:p>
    <w:p w14:paraId="7CE80FD6">
      <w:pPr>
        <w:snapToGrid w:val="0"/>
        <w:spacing w:line="360" w:lineRule="auto"/>
        <w:ind w:firstLine="484" w:firstLineChars="202"/>
        <w:rPr>
          <w:rFonts w:ascii="宋体" w:hAnsi="宋体" w:eastAsia="宋体" w:cs="宋体"/>
        </w:rPr>
      </w:pPr>
      <w:r>
        <w:rPr>
          <w:rFonts w:hint="eastAsia" w:ascii="宋体" w:hAnsi="宋体" w:eastAsia="宋体" w:cs="宋体"/>
        </w:rPr>
        <w:t>2.竞争性谈判响应文件的资料有虚报或者谎报的；</w:t>
      </w:r>
    </w:p>
    <w:p w14:paraId="0DE95B8D">
      <w:pPr>
        <w:snapToGrid w:val="0"/>
        <w:spacing w:line="360" w:lineRule="auto"/>
        <w:ind w:firstLine="484" w:firstLineChars="202"/>
        <w:rPr>
          <w:rFonts w:ascii="宋体" w:hAnsi="宋体" w:eastAsia="宋体" w:cs="宋体"/>
        </w:rPr>
      </w:pPr>
      <w:r>
        <w:rPr>
          <w:rFonts w:hint="eastAsia" w:ascii="宋体" w:hAnsi="宋体" w:eastAsia="宋体" w:cs="宋体"/>
        </w:rPr>
        <w:t>3.竞争性谈判响应文件中资格审查文件及价格响应文件内出现竞争性谈判的报价内容价格；</w:t>
      </w:r>
    </w:p>
    <w:p w14:paraId="6E8E2E65">
      <w:pPr>
        <w:snapToGrid w:val="0"/>
        <w:spacing w:line="360" w:lineRule="auto"/>
        <w:ind w:firstLine="484" w:firstLineChars="202"/>
        <w:rPr>
          <w:rFonts w:ascii="宋体" w:hAnsi="宋体" w:eastAsia="宋体" w:cs="宋体"/>
        </w:rPr>
      </w:pPr>
      <w:r>
        <w:rPr>
          <w:rFonts w:hint="eastAsia" w:ascii="宋体" w:hAnsi="宋体" w:eastAsia="宋体" w:cs="宋体"/>
        </w:rPr>
        <w:t>4.不具备竞争性谈判文件规定的资格要求的；</w:t>
      </w:r>
    </w:p>
    <w:p w14:paraId="4B9E706E">
      <w:pPr>
        <w:snapToGrid w:val="0"/>
        <w:spacing w:line="360" w:lineRule="auto"/>
        <w:ind w:firstLine="484" w:firstLineChars="202"/>
        <w:rPr>
          <w:rFonts w:ascii="宋体" w:hAnsi="宋体" w:eastAsia="宋体" w:cs="宋体"/>
        </w:rPr>
      </w:pPr>
      <w:r>
        <w:rPr>
          <w:rFonts w:hint="eastAsia" w:ascii="宋体" w:hAnsi="宋体" w:eastAsia="宋体" w:cs="宋体"/>
        </w:rPr>
        <w:t>5.竞争性谈判响应文件有重大漏项或重大不合理的；</w:t>
      </w:r>
    </w:p>
    <w:p w14:paraId="7C197069">
      <w:pPr>
        <w:snapToGrid w:val="0"/>
        <w:spacing w:line="360" w:lineRule="auto"/>
        <w:ind w:firstLine="484" w:firstLineChars="202"/>
        <w:rPr>
          <w:rFonts w:ascii="宋体" w:hAnsi="宋体" w:eastAsia="宋体" w:cs="宋体"/>
        </w:rPr>
      </w:pPr>
      <w:r>
        <w:rPr>
          <w:rFonts w:hint="eastAsia" w:ascii="宋体" w:hAnsi="宋体" w:eastAsia="宋体" w:cs="宋体"/>
        </w:rPr>
        <w:t>6.项目技术、方案不满足项目需求中的要求，有重大偏离或保留的；</w:t>
      </w:r>
    </w:p>
    <w:p w14:paraId="651D52D9">
      <w:pPr>
        <w:snapToGrid w:val="0"/>
        <w:spacing w:line="360" w:lineRule="auto"/>
        <w:ind w:firstLine="484" w:firstLineChars="202"/>
        <w:rPr>
          <w:rFonts w:ascii="宋体" w:hAnsi="宋体" w:eastAsia="宋体" w:cs="宋体"/>
        </w:rPr>
      </w:pPr>
      <w:r>
        <w:rPr>
          <w:rFonts w:hint="eastAsia" w:ascii="宋体" w:hAnsi="宋体" w:eastAsia="宋体" w:cs="宋体"/>
        </w:rPr>
        <w:t>7.竞争性谈判响应报价超出项目预算的；</w:t>
      </w:r>
    </w:p>
    <w:p w14:paraId="3BB9E360">
      <w:pPr>
        <w:snapToGrid w:val="0"/>
        <w:spacing w:line="360" w:lineRule="auto"/>
        <w:ind w:firstLine="484" w:firstLineChars="202"/>
        <w:rPr>
          <w:rFonts w:ascii="宋体" w:hAnsi="宋体" w:eastAsia="宋体" w:cs="宋体"/>
        </w:rPr>
      </w:pPr>
      <w:r>
        <w:rPr>
          <w:rFonts w:hint="eastAsia" w:ascii="宋体" w:hAnsi="宋体" w:eastAsia="宋体" w:cs="宋体"/>
        </w:rPr>
        <w:t>8.被认定为低于成本报价竞标的；</w:t>
      </w:r>
    </w:p>
    <w:p w14:paraId="72F417AB">
      <w:pPr>
        <w:snapToGrid w:val="0"/>
        <w:spacing w:line="360" w:lineRule="auto"/>
        <w:ind w:firstLine="484" w:firstLineChars="202"/>
        <w:rPr>
          <w:rFonts w:ascii="宋体" w:hAnsi="宋体" w:eastAsia="宋体" w:cs="宋体"/>
        </w:rPr>
      </w:pPr>
      <w:r>
        <w:rPr>
          <w:rFonts w:hint="eastAsia" w:ascii="宋体" w:hAnsi="宋体" w:eastAsia="宋体" w:cs="宋体"/>
        </w:rPr>
        <w:t>9.不符合法律、法规和竞争性谈判文件中规定的其他实质性响应要求的；</w:t>
      </w:r>
    </w:p>
    <w:p w14:paraId="1C5D429A">
      <w:pPr>
        <w:snapToGrid w:val="0"/>
        <w:spacing w:line="360" w:lineRule="auto"/>
        <w:ind w:firstLine="484" w:firstLineChars="202"/>
        <w:rPr>
          <w:rFonts w:ascii="宋体" w:hAnsi="宋体" w:eastAsia="宋体" w:cs="宋体"/>
        </w:rPr>
      </w:pPr>
      <w:r>
        <w:rPr>
          <w:rFonts w:hint="eastAsia" w:ascii="宋体" w:hAnsi="宋体" w:eastAsia="宋体" w:cs="宋体"/>
        </w:rPr>
        <w:t>10.竞争性谈判小组依据法律法规可以认定为无效响应的其他情况。</w:t>
      </w:r>
    </w:p>
    <w:p w14:paraId="1E0D9812">
      <w:pPr>
        <w:snapToGrid w:val="0"/>
        <w:spacing w:line="360" w:lineRule="auto"/>
        <w:ind w:firstLine="482" w:firstLineChars="200"/>
        <w:outlineLvl w:val="1"/>
        <w:rPr>
          <w:rFonts w:ascii="宋体" w:hAnsi="宋体" w:eastAsia="宋体" w:cs="宋体"/>
        </w:rPr>
      </w:pPr>
      <w:r>
        <w:rPr>
          <w:rFonts w:hint="eastAsia" w:ascii="宋体" w:hAnsi="宋体" w:eastAsia="宋体" w:cs="宋体"/>
          <w:b/>
          <w:bCs/>
        </w:rPr>
        <w:t>六、有下列情形之一的，视为谈判响应供应商串通，其竞争性谈判响应无效</w:t>
      </w:r>
    </w:p>
    <w:p w14:paraId="7E32C1DC">
      <w:pPr>
        <w:snapToGrid w:val="0"/>
        <w:spacing w:line="360" w:lineRule="auto"/>
        <w:ind w:firstLine="484" w:firstLineChars="202"/>
        <w:rPr>
          <w:rFonts w:ascii="宋体" w:hAnsi="宋体" w:eastAsia="宋体" w:cs="宋体"/>
        </w:rPr>
      </w:pPr>
      <w:r>
        <w:rPr>
          <w:rFonts w:hint="eastAsia" w:ascii="宋体" w:hAnsi="宋体" w:eastAsia="宋体" w:cs="宋体"/>
        </w:rPr>
        <w:t>1.不同谈判响应供应商的</w:t>
      </w:r>
      <w:bookmarkStart w:id="12" w:name="_Hlk59980609"/>
      <w:r>
        <w:rPr>
          <w:rFonts w:hint="eastAsia" w:ascii="宋体" w:hAnsi="宋体" w:eastAsia="宋体" w:cs="宋体"/>
        </w:rPr>
        <w:t>竞争性谈判</w:t>
      </w:r>
      <w:bookmarkEnd w:id="12"/>
      <w:r>
        <w:rPr>
          <w:rFonts w:hint="eastAsia" w:ascii="宋体" w:hAnsi="宋体" w:eastAsia="宋体" w:cs="宋体"/>
        </w:rPr>
        <w:t>响应文件由同一单位或者个人编制；</w:t>
      </w:r>
    </w:p>
    <w:p w14:paraId="74E7BF6F">
      <w:pPr>
        <w:snapToGrid w:val="0"/>
        <w:spacing w:line="360" w:lineRule="auto"/>
        <w:ind w:firstLine="484" w:firstLineChars="202"/>
        <w:rPr>
          <w:rFonts w:ascii="宋体" w:hAnsi="宋体" w:eastAsia="宋体" w:cs="宋体"/>
        </w:rPr>
      </w:pPr>
      <w:r>
        <w:rPr>
          <w:rFonts w:hint="eastAsia" w:ascii="宋体" w:hAnsi="宋体" w:eastAsia="宋体" w:cs="宋体"/>
        </w:rPr>
        <w:t>2.不同谈判响应供应商委托同一单位或者个人办理竞争性谈判响应事宜；</w:t>
      </w:r>
    </w:p>
    <w:p w14:paraId="223431B1">
      <w:pPr>
        <w:snapToGrid w:val="0"/>
        <w:spacing w:line="360" w:lineRule="auto"/>
        <w:ind w:firstLine="484" w:firstLineChars="202"/>
        <w:rPr>
          <w:rFonts w:ascii="宋体" w:hAnsi="宋体" w:eastAsia="宋体" w:cs="宋体"/>
        </w:rPr>
      </w:pPr>
      <w:r>
        <w:rPr>
          <w:rFonts w:hint="eastAsia" w:ascii="宋体" w:hAnsi="宋体" w:eastAsia="宋体" w:cs="宋体"/>
        </w:rPr>
        <w:t>3.不同谈判响应供应商的竞争性谈判响应文件载明的项目管理成员或者联系人员为同一人；</w:t>
      </w:r>
    </w:p>
    <w:p w14:paraId="5CC84B24">
      <w:pPr>
        <w:snapToGrid w:val="0"/>
        <w:spacing w:line="360" w:lineRule="auto"/>
        <w:ind w:firstLine="484" w:firstLineChars="202"/>
        <w:rPr>
          <w:rFonts w:ascii="宋体" w:hAnsi="宋体" w:eastAsia="宋体" w:cs="宋体"/>
        </w:rPr>
      </w:pPr>
      <w:r>
        <w:rPr>
          <w:rFonts w:hint="eastAsia" w:ascii="宋体" w:hAnsi="宋体" w:eastAsia="宋体" w:cs="宋体"/>
        </w:rPr>
        <w:t>4.不同谈判响应供应商的竞争性谈判响应文件异常一致或者报价呈规律性差异；</w:t>
      </w:r>
    </w:p>
    <w:p w14:paraId="43B26C9B">
      <w:pPr>
        <w:snapToGrid w:val="0"/>
        <w:spacing w:line="360" w:lineRule="auto"/>
        <w:ind w:firstLine="484" w:firstLineChars="202"/>
        <w:rPr>
          <w:rFonts w:ascii="宋体" w:hAnsi="宋体" w:eastAsia="宋体" w:cs="宋体"/>
        </w:rPr>
      </w:pPr>
      <w:r>
        <w:rPr>
          <w:rFonts w:hint="eastAsia" w:ascii="宋体" w:hAnsi="宋体" w:eastAsia="宋体" w:cs="宋体"/>
        </w:rPr>
        <w:t>5.不同谈判响应供应商的竞争性谈判响应文件相互混装；</w:t>
      </w:r>
    </w:p>
    <w:p w14:paraId="24F60E0F">
      <w:pPr>
        <w:snapToGrid w:val="0"/>
        <w:spacing w:line="360" w:lineRule="auto"/>
        <w:ind w:firstLine="482" w:firstLineChars="200"/>
        <w:outlineLvl w:val="1"/>
        <w:rPr>
          <w:rFonts w:ascii="宋体" w:hAnsi="宋体" w:eastAsia="宋体" w:cs="宋体"/>
        </w:rPr>
      </w:pPr>
      <w:r>
        <w:rPr>
          <w:rFonts w:hint="eastAsia" w:ascii="宋体" w:hAnsi="宋体" w:eastAsia="宋体" w:cs="宋体"/>
          <w:b/>
          <w:bCs/>
        </w:rPr>
        <w:t>七、出现下列情形之一的，采购人或者采购代理机构应当终止竞争性谈判采购活动，发布项目终止公告并说明原因，重新开展采购活动：</w:t>
      </w:r>
    </w:p>
    <w:p w14:paraId="3F8DED62">
      <w:pPr>
        <w:snapToGrid w:val="0"/>
        <w:spacing w:line="360" w:lineRule="auto"/>
        <w:ind w:firstLine="484" w:firstLineChars="202"/>
        <w:rPr>
          <w:rFonts w:ascii="宋体" w:hAnsi="宋体" w:eastAsia="宋体" w:cs="宋体"/>
        </w:rPr>
      </w:pPr>
      <w:r>
        <w:rPr>
          <w:rFonts w:hint="eastAsia" w:ascii="宋体" w:hAnsi="宋体" w:eastAsia="宋体" w:cs="宋体"/>
        </w:rPr>
        <w:t>1.符合资格条件或者对竞争性谈判文件作实质性响应的单位不足3家的；</w:t>
      </w:r>
    </w:p>
    <w:p w14:paraId="687E187B">
      <w:pPr>
        <w:snapToGrid w:val="0"/>
        <w:spacing w:line="360" w:lineRule="auto"/>
        <w:ind w:firstLine="484" w:firstLineChars="202"/>
        <w:rPr>
          <w:rFonts w:ascii="宋体" w:hAnsi="宋体" w:eastAsia="宋体" w:cs="宋体"/>
        </w:rPr>
      </w:pPr>
      <w:r>
        <w:rPr>
          <w:rFonts w:hint="eastAsia" w:ascii="宋体" w:hAnsi="宋体" w:eastAsia="宋体" w:cs="宋体"/>
        </w:rPr>
        <w:t>2.出现影响采购公正的违法违规行为的；</w:t>
      </w:r>
    </w:p>
    <w:p w14:paraId="5DF766CF">
      <w:pPr>
        <w:snapToGrid w:val="0"/>
        <w:spacing w:line="360" w:lineRule="auto"/>
        <w:ind w:firstLine="484" w:firstLineChars="202"/>
        <w:rPr>
          <w:rFonts w:ascii="宋体" w:hAnsi="宋体" w:eastAsia="宋体" w:cs="宋体"/>
        </w:rPr>
      </w:pPr>
      <w:r>
        <w:rPr>
          <w:rFonts w:hint="eastAsia" w:ascii="宋体" w:hAnsi="宋体" w:eastAsia="宋体" w:cs="宋体"/>
        </w:rPr>
        <w:t>3.因重大变故，采购任务被取消的；</w:t>
      </w:r>
    </w:p>
    <w:p w14:paraId="5E311634">
      <w:pPr>
        <w:snapToGrid w:val="0"/>
        <w:spacing w:line="360" w:lineRule="auto"/>
        <w:ind w:firstLine="484" w:firstLineChars="202"/>
        <w:rPr>
          <w:rFonts w:ascii="宋体" w:hAnsi="宋体" w:eastAsia="宋体" w:cs="宋体"/>
        </w:rPr>
      </w:pPr>
      <w:r>
        <w:rPr>
          <w:rFonts w:hint="eastAsia" w:ascii="宋体" w:hAnsi="宋体" w:eastAsia="宋体" w:cs="宋体"/>
        </w:rPr>
        <w:t>4.供应商的报价均超出了采购预算，采购单位不能支付的；</w:t>
      </w:r>
    </w:p>
    <w:p w14:paraId="33FA69F3">
      <w:pPr>
        <w:snapToGrid w:val="0"/>
        <w:spacing w:line="360" w:lineRule="auto"/>
        <w:ind w:firstLine="484" w:firstLineChars="202"/>
        <w:rPr>
          <w:rFonts w:ascii="宋体" w:hAnsi="宋体" w:eastAsia="宋体" w:cs="宋体"/>
        </w:rPr>
      </w:pPr>
      <w:r>
        <w:rPr>
          <w:rFonts w:hint="eastAsia" w:ascii="宋体" w:hAnsi="宋体" w:eastAsia="宋体" w:cs="宋体"/>
        </w:rPr>
        <w:t>5.竞争性谈判小组可以认定为废标的其他情况。</w:t>
      </w:r>
    </w:p>
    <w:p w14:paraId="195DC66C">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八、在采购活动中因重大变故，采购任务取消的，采购人或者采购代理机构应当终止采购活动，通知所有参加采购活动的供应商。</w:t>
      </w:r>
    </w:p>
    <w:p w14:paraId="588FA98F">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rPr>
        <w:t>九、成交通知</w:t>
      </w:r>
    </w:p>
    <w:p w14:paraId="4582F0F5">
      <w:pPr>
        <w:snapToGrid w:val="0"/>
        <w:spacing w:line="360" w:lineRule="auto"/>
        <w:ind w:firstLine="484" w:firstLineChars="202"/>
        <w:rPr>
          <w:rFonts w:ascii="宋体" w:hAnsi="宋体" w:eastAsia="宋体" w:cs="宋体"/>
        </w:rPr>
      </w:pPr>
      <w:r>
        <w:rPr>
          <w:rFonts w:hint="eastAsia" w:ascii="宋体" w:hAnsi="宋体" w:eastAsia="宋体" w:cs="宋体"/>
        </w:rPr>
        <w:t>《成交通知书》一经发出，即具有法律效力。采购人、成交人依法承担法律责任，且《成交通知书》是本项目采购合同的组成部分。</w:t>
      </w:r>
      <w:bookmarkStart w:id="13" w:name="_Toc363573858"/>
      <w:bookmarkStart w:id="14" w:name="_Toc94585343"/>
    </w:p>
    <w:p w14:paraId="6D46897C">
      <w:pPr>
        <w:pStyle w:val="2"/>
        <w:ind w:left="480" w:firstLine="480"/>
      </w:pPr>
    </w:p>
    <w:p w14:paraId="3056AE19">
      <w:pPr>
        <w:pStyle w:val="2"/>
        <w:ind w:left="480" w:firstLine="480"/>
      </w:pPr>
    </w:p>
    <w:p w14:paraId="1F350014">
      <w:pPr>
        <w:adjustRightInd w:val="0"/>
        <w:snapToGrid w:val="0"/>
        <w:spacing w:line="540" w:lineRule="exact"/>
        <w:ind w:firstLine="480" w:firstLineChars="200"/>
        <w:outlineLvl w:val="1"/>
        <w:rPr>
          <w:rFonts w:asciiTheme="minorEastAsia" w:hAnsiTheme="minorEastAsia" w:eastAsiaTheme="minorEastAsia"/>
          <w:color w:val="000000" w:themeColor="text1"/>
          <w14:textFill>
            <w14:solidFill>
              <w14:schemeClr w14:val="tx1"/>
            </w14:solidFill>
          </w14:textFill>
        </w:rPr>
      </w:pPr>
    </w:p>
    <w:p w14:paraId="24C5853D">
      <w:pPr>
        <w:keepNext/>
        <w:keepLines/>
        <w:spacing w:beforeLines="100" w:afterLines="100" w:line="360" w:lineRule="auto"/>
        <w:jc w:val="center"/>
        <w:outlineLvl w:val="0"/>
        <w:rPr>
          <w:rFonts w:ascii="宋体" w:hAnsi="宋体" w:eastAsia="宋体" w:cs="宋体"/>
          <w:b/>
          <w:bCs/>
          <w:kern w:val="44"/>
          <w:sz w:val="36"/>
          <w:szCs w:val="36"/>
        </w:rPr>
      </w:pPr>
    </w:p>
    <w:p w14:paraId="4B11193C">
      <w:pPr>
        <w:pStyle w:val="2"/>
        <w:ind w:left="480" w:firstLine="480"/>
      </w:pPr>
    </w:p>
    <w:p w14:paraId="6B8BAE58">
      <w:pPr>
        <w:pStyle w:val="2"/>
        <w:ind w:left="480" w:firstLine="480"/>
      </w:pPr>
    </w:p>
    <w:p w14:paraId="10416F8D">
      <w:pPr>
        <w:pStyle w:val="2"/>
        <w:ind w:left="480" w:firstLine="480"/>
      </w:pPr>
    </w:p>
    <w:p w14:paraId="53894153">
      <w:pPr>
        <w:pStyle w:val="2"/>
        <w:ind w:left="480" w:firstLine="480"/>
      </w:pPr>
    </w:p>
    <w:p w14:paraId="770DEDD4">
      <w:pPr>
        <w:pStyle w:val="2"/>
        <w:ind w:left="480" w:firstLine="480"/>
      </w:pPr>
    </w:p>
    <w:p w14:paraId="2270911C">
      <w:pPr>
        <w:pStyle w:val="2"/>
        <w:ind w:left="480" w:firstLine="480"/>
      </w:pPr>
    </w:p>
    <w:p w14:paraId="223DC408">
      <w:pPr>
        <w:pStyle w:val="2"/>
        <w:ind w:left="480" w:firstLine="480"/>
      </w:pPr>
    </w:p>
    <w:p w14:paraId="3D004485">
      <w:pPr>
        <w:pStyle w:val="2"/>
        <w:ind w:left="480" w:firstLine="480"/>
      </w:pPr>
    </w:p>
    <w:p w14:paraId="36ED6D7C">
      <w:pPr>
        <w:pStyle w:val="2"/>
        <w:ind w:left="480" w:firstLine="480"/>
      </w:pPr>
    </w:p>
    <w:p w14:paraId="4A0C0563">
      <w:pPr>
        <w:pStyle w:val="2"/>
        <w:ind w:left="480" w:firstLine="480"/>
      </w:pPr>
    </w:p>
    <w:p w14:paraId="4AEB9B7B">
      <w:pPr>
        <w:keepNext/>
        <w:keepLines/>
        <w:spacing w:beforeLines="100" w:afterLines="100" w:line="360" w:lineRule="auto"/>
        <w:jc w:val="center"/>
        <w:outlineLvl w:val="0"/>
        <w:rPr>
          <w:rFonts w:ascii="宋体" w:hAnsi="宋体" w:eastAsia="宋体" w:cs="宋体"/>
          <w:b/>
          <w:bCs/>
          <w:color w:val="000000" w:themeColor="text1"/>
          <w:kern w:val="44"/>
          <w:sz w:val="36"/>
          <w:szCs w:val="36"/>
          <w14:textFill>
            <w14:solidFill>
              <w14:schemeClr w14:val="tx1"/>
            </w14:solidFill>
          </w14:textFill>
        </w:rPr>
      </w:pPr>
      <w:r>
        <w:rPr>
          <w:rFonts w:hint="eastAsia" w:ascii="宋体" w:hAnsi="宋体" w:eastAsia="宋体" w:cs="宋体"/>
          <w:b/>
          <w:bCs/>
          <w:kern w:val="44"/>
          <w:sz w:val="36"/>
          <w:szCs w:val="36"/>
        </w:rPr>
        <w:t xml:space="preserve">第五章   </w:t>
      </w:r>
      <w:r>
        <w:rPr>
          <w:rFonts w:hint="eastAsia" w:ascii="宋体" w:hAnsi="宋体" w:eastAsia="宋体" w:cs="宋体"/>
          <w:b/>
          <w:bCs/>
          <w:color w:val="000000" w:themeColor="text1"/>
          <w:kern w:val="44"/>
          <w:sz w:val="36"/>
          <w:szCs w:val="36"/>
          <w14:textFill>
            <w14:solidFill>
              <w14:schemeClr w14:val="tx1"/>
            </w14:solidFill>
          </w14:textFill>
        </w:rPr>
        <w:t>合同主要条款</w:t>
      </w:r>
    </w:p>
    <w:bookmarkEnd w:id="13"/>
    <w:bookmarkEnd w:id="14"/>
    <w:p w14:paraId="2F5587FF">
      <w:pPr>
        <w:spacing w:before="249" w:line="449" w:lineRule="exact"/>
        <w:ind w:left="259"/>
        <w:jc w:val="center"/>
        <w:rPr>
          <w:rFonts w:ascii="宋体" w:hAnsi="宋体" w:cs="宋体" w:eastAsiaTheme="minorEastAsia"/>
          <w:color w:val="000000"/>
          <w:sz w:val="44"/>
          <w:szCs w:val="22"/>
        </w:rPr>
      </w:pPr>
      <w:bookmarkStart w:id="15" w:name="_Toc363573859"/>
      <w:r>
        <w:rPr>
          <w:rFonts w:ascii="宋体" w:hAnsi="宋体" w:eastAsia="Times New Roman" w:cs="宋体"/>
          <w:color w:val="000000"/>
          <w:sz w:val="44"/>
          <w:szCs w:val="22"/>
        </w:rPr>
        <w:t>合同</w:t>
      </w:r>
      <w:r>
        <w:rPr>
          <w:rFonts w:hint="eastAsia" w:ascii="宋体" w:hAnsi="宋体" w:cs="宋体" w:eastAsiaTheme="minorEastAsia"/>
          <w:color w:val="000000"/>
          <w:sz w:val="44"/>
          <w:szCs w:val="22"/>
        </w:rPr>
        <w:t>书</w:t>
      </w:r>
    </w:p>
    <w:p w14:paraId="41C4968F">
      <w:pPr>
        <w:spacing w:line="360" w:lineRule="auto"/>
        <w:ind w:firstLine="480"/>
        <w:rPr>
          <w:rFonts w:ascii="宋体" w:hAnsi="宋体" w:eastAsia="宋体" w:cs="宋体"/>
          <w:u w:val="single"/>
        </w:rPr>
      </w:pPr>
      <w:r>
        <w:rPr>
          <w:rFonts w:hint="eastAsia" w:ascii="宋体" w:hAnsi="宋体" w:eastAsia="宋体" w:cs="宋体"/>
        </w:rPr>
        <w:t>根据《中华人民共和国民法典》及有关法律法规，（下简称甲方）与公司（下简称乙方）本着精诚合作、公平合理的原则，经友好协商，就甲方委托乙方就</w:t>
      </w:r>
      <w:r>
        <w:rPr>
          <w:rFonts w:hint="eastAsia" w:ascii="宋体" w:hAnsi="宋体" w:eastAsia="宋体" w:cs="宋体"/>
          <w:u w:val="single"/>
        </w:rPr>
        <w:t xml:space="preserve">         （项目名称）</w:t>
      </w:r>
      <w:r>
        <w:rPr>
          <w:rFonts w:hint="eastAsia" w:ascii="宋体" w:hAnsi="宋体" w:eastAsia="宋体" w:cs="宋体"/>
        </w:rPr>
        <w:t>一事签订本协议，协议如下：</w:t>
      </w:r>
    </w:p>
    <w:p w14:paraId="114BE159">
      <w:pPr>
        <w:spacing w:line="360" w:lineRule="auto"/>
        <w:ind w:firstLine="482"/>
        <w:rPr>
          <w:rFonts w:ascii="宋体" w:hAnsi="宋体" w:eastAsia="宋体" w:cs="宋体"/>
          <w:b/>
        </w:rPr>
      </w:pPr>
      <w:r>
        <w:rPr>
          <w:rFonts w:hint="eastAsia" w:ascii="宋体" w:hAnsi="宋体" w:eastAsia="宋体" w:cs="宋体"/>
          <w:b/>
        </w:rPr>
        <w:t>一、项目实施内容</w:t>
      </w:r>
    </w:p>
    <w:p w14:paraId="154E5411">
      <w:pPr>
        <w:spacing w:line="360" w:lineRule="auto"/>
        <w:ind w:firstLine="480"/>
        <w:rPr>
          <w:rFonts w:ascii="宋体" w:hAnsi="宋体" w:eastAsia="宋体" w:cs="宋体"/>
        </w:rPr>
      </w:pPr>
      <w:r>
        <w:rPr>
          <w:rFonts w:hint="eastAsia" w:ascii="宋体" w:hAnsi="宋体" w:eastAsia="宋体" w:cs="宋体"/>
        </w:rPr>
        <w:t>完成项目所有需求及目标，完成开发、安装、调试、试运行、培训、维保等相关服务，直至验收合格，交付使用的全过程，供应商提供的系统平台软件的功能必须满足项目需求内所载明的所有要求。</w:t>
      </w:r>
    </w:p>
    <w:p w14:paraId="4D0F13B7">
      <w:pPr>
        <w:spacing w:line="360" w:lineRule="auto"/>
        <w:ind w:firstLine="482"/>
        <w:rPr>
          <w:rFonts w:ascii="宋体" w:hAnsi="宋体" w:eastAsia="宋体" w:cs="宋体"/>
          <w:b/>
          <w:lang w:val="zh-CN"/>
        </w:rPr>
      </w:pPr>
      <w:r>
        <w:rPr>
          <w:rFonts w:hint="eastAsia" w:ascii="宋体" w:hAnsi="宋体" w:eastAsia="宋体" w:cs="宋体"/>
          <w:b/>
        </w:rPr>
        <w:t>二、</w:t>
      </w:r>
      <w:r>
        <w:rPr>
          <w:rFonts w:hint="eastAsia" w:ascii="宋体" w:hAnsi="宋体" w:eastAsia="宋体" w:cs="宋体"/>
          <w:b/>
          <w:lang w:val="zh-CN"/>
        </w:rPr>
        <w:t>服务标准</w:t>
      </w:r>
    </w:p>
    <w:p w14:paraId="06BBD1A6">
      <w:pPr>
        <w:spacing w:line="360" w:lineRule="auto"/>
        <w:ind w:firstLine="480"/>
        <w:rPr>
          <w:rFonts w:ascii="宋体" w:hAnsi="宋体" w:eastAsia="宋体" w:cs="宋体"/>
          <w:lang w:val="zh-CN"/>
        </w:rPr>
      </w:pPr>
      <w:r>
        <w:rPr>
          <w:rFonts w:hint="eastAsia" w:ascii="宋体" w:hAnsi="宋体" w:eastAsia="宋体" w:cs="宋体"/>
        </w:rPr>
        <w:t>1.乙方</w:t>
      </w:r>
      <w:r>
        <w:rPr>
          <w:rFonts w:hint="eastAsia" w:ascii="宋体" w:hAnsi="宋体" w:eastAsia="宋体" w:cs="宋体"/>
          <w:lang w:val="zh-CN"/>
        </w:rPr>
        <w:t>应建立健全的沟通管理机制，确保项目工作正常、良好、有效开展。</w:t>
      </w:r>
    </w:p>
    <w:p w14:paraId="77CB9AE1">
      <w:pPr>
        <w:spacing w:line="360" w:lineRule="auto"/>
        <w:ind w:firstLine="480"/>
        <w:rPr>
          <w:rFonts w:ascii="宋体" w:hAnsi="宋体" w:eastAsia="宋体" w:cs="宋体"/>
          <w:lang w:val="zh-CN"/>
        </w:rPr>
      </w:pPr>
      <w:r>
        <w:rPr>
          <w:rFonts w:hint="eastAsia" w:ascii="宋体" w:hAnsi="宋体" w:eastAsia="宋体" w:cs="宋体"/>
        </w:rPr>
        <w:t>2.</w:t>
      </w:r>
      <w:r>
        <w:rPr>
          <w:rFonts w:hint="eastAsia" w:ascii="宋体" w:hAnsi="宋体" w:eastAsia="宋体" w:cs="宋体"/>
          <w:lang w:val="zh-CN"/>
        </w:rPr>
        <w:t>乙方在实施至验收阶段需提供专业驻场服务，项目整体建设团队规模不少于5人。驻场服务人员需相对固定，如有变动须提前一个月告知。驻场服务人员上下班时间根据用户现场要求，进出现场要求着装大方整洁，遵守现场工作规范。</w:t>
      </w:r>
    </w:p>
    <w:p w14:paraId="5F4E80CA">
      <w:pPr>
        <w:spacing w:line="360" w:lineRule="auto"/>
        <w:ind w:firstLine="480"/>
        <w:rPr>
          <w:rFonts w:ascii="宋体" w:hAnsi="宋体" w:eastAsia="宋体" w:cs="宋体"/>
          <w:lang w:val="zh-CN"/>
        </w:rPr>
      </w:pPr>
      <w:r>
        <w:rPr>
          <w:rFonts w:hint="eastAsia" w:ascii="宋体" w:hAnsi="宋体" w:eastAsia="宋体" w:cs="宋体"/>
        </w:rPr>
        <w:t>3.</w:t>
      </w:r>
      <w:r>
        <w:rPr>
          <w:rFonts w:hint="eastAsia" w:ascii="宋体" w:hAnsi="宋体" w:eastAsia="宋体" w:cs="宋体"/>
          <w:lang w:val="zh-CN"/>
        </w:rPr>
        <w:t>乙方在项目验收后的免运期内需要提供不少于1人的5*8运维驻场服务，提供日常系统运维保障工作。驻场服务人员需相对固定，如有变动须提前一个月告知。驻场服务人员上下班时间根据用户现场要求，进出现场要求着装大方整洁，遵守现场工作规范。</w:t>
      </w:r>
    </w:p>
    <w:p w14:paraId="79A7FD20">
      <w:pPr>
        <w:spacing w:line="360" w:lineRule="auto"/>
        <w:ind w:firstLine="480"/>
        <w:rPr>
          <w:rFonts w:ascii="宋体" w:hAnsi="宋体" w:eastAsia="宋体" w:cs="宋体"/>
          <w:lang w:val="zh-CN"/>
        </w:rPr>
      </w:pPr>
      <w:r>
        <w:rPr>
          <w:rFonts w:hint="eastAsia" w:ascii="宋体" w:hAnsi="宋体" w:eastAsia="宋体" w:cs="宋体"/>
        </w:rPr>
        <w:t>4.</w:t>
      </w:r>
      <w:r>
        <w:rPr>
          <w:rFonts w:hint="eastAsia" w:ascii="宋体" w:hAnsi="宋体" w:eastAsia="宋体" w:cs="宋体"/>
          <w:lang w:val="zh-CN"/>
        </w:rPr>
        <w:t>保障平台日常运行，发现故障第一时间响应并处理。建立故障报告单，对上报故障内容进行记录。若无法短时解决故障需尽快上报甲方，协调相关部门及协作厂商排除故障。</w:t>
      </w:r>
    </w:p>
    <w:p w14:paraId="6AC7998E">
      <w:pPr>
        <w:spacing w:line="360" w:lineRule="auto"/>
        <w:ind w:firstLine="480"/>
        <w:rPr>
          <w:rFonts w:ascii="宋体" w:hAnsi="宋体" w:eastAsia="宋体" w:cs="宋体"/>
          <w:lang w:val="zh-CN"/>
        </w:rPr>
      </w:pPr>
      <w:r>
        <w:rPr>
          <w:rFonts w:hint="eastAsia" w:ascii="宋体" w:hAnsi="宋体" w:eastAsia="宋体" w:cs="宋体"/>
        </w:rPr>
        <w:t>5.</w:t>
      </w:r>
      <w:r>
        <w:rPr>
          <w:rFonts w:hint="eastAsia" w:ascii="宋体" w:hAnsi="宋体" w:eastAsia="宋体" w:cs="宋体"/>
          <w:lang w:val="zh-CN"/>
        </w:rPr>
        <w:t>驻场人员对涉及内容有保密义务和责任，入场后需单独签署并遵守保密协议。</w:t>
      </w:r>
    </w:p>
    <w:p w14:paraId="42A4AEED">
      <w:pPr>
        <w:spacing w:line="440" w:lineRule="exact"/>
        <w:ind w:firstLine="482" w:firstLineChars="200"/>
        <w:rPr>
          <w:rFonts w:ascii="宋体" w:hAnsi="宋体" w:eastAsia="宋体" w:cs="宋体"/>
          <w:b/>
          <w:bCs/>
          <w:color w:val="000000"/>
          <w:kern w:val="0"/>
          <w:lang w:val="zh-CN"/>
        </w:rPr>
      </w:pPr>
      <w:r>
        <w:rPr>
          <w:rFonts w:hint="eastAsia" w:ascii="宋体" w:hAnsi="宋体" w:eastAsia="宋体" w:cs="宋体"/>
          <w:b/>
          <w:bCs/>
          <w:color w:val="000000"/>
          <w:kern w:val="0"/>
        </w:rPr>
        <w:t>三、</w:t>
      </w:r>
      <w:r>
        <w:rPr>
          <w:rFonts w:hint="eastAsia" w:ascii="宋体" w:hAnsi="宋体" w:eastAsia="宋体" w:cs="宋体"/>
          <w:b/>
          <w:bCs/>
          <w:color w:val="000000"/>
          <w:kern w:val="0"/>
          <w:lang w:val="zh-CN"/>
        </w:rPr>
        <w:t>服务期限</w:t>
      </w:r>
    </w:p>
    <w:p w14:paraId="359BCBD8">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本项目建设实施服务期限为</w:t>
      </w:r>
      <w:r>
        <w:rPr>
          <w:rFonts w:hint="eastAsia" w:ascii="宋体" w:hAnsi="宋体" w:eastAsia="宋体" w:cs="宋体"/>
          <w:color w:val="000000" w:themeColor="text1"/>
          <w:kern w:val="0"/>
          <w:lang w:val="zh-CN"/>
          <w14:textFill>
            <w14:solidFill>
              <w14:schemeClr w14:val="tx1"/>
            </w14:solidFill>
          </w14:textFill>
        </w:rPr>
        <w:t>1年</w:t>
      </w:r>
      <w:r>
        <w:rPr>
          <w:rFonts w:hint="eastAsia" w:ascii="宋体" w:hAnsi="宋体" w:eastAsia="宋体" w:cs="宋体"/>
          <w:color w:val="000000"/>
          <w:kern w:val="0"/>
          <w:lang w:val="zh-CN"/>
        </w:rPr>
        <w:t>，在项目验收后提供3年的免费运维。</w:t>
      </w:r>
    </w:p>
    <w:p w14:paraId="1C0DFA10">
      <w:pPr>
        <w:spacing w:line="440" w:lineRule="exact"/>
        <w:ind w:firstLine="482" w:firstLineChars="200"/>
        <w:rPr>
          <w:rFonts w:ascii="宋体" w:hAnsi="宋体" w:eastAsia="宋体" w:cs="宋体"/>
          <w:b/>
          <w:bCs/>
          <w:color w:val="000000"/>
          <w:kern w:val="0"/>
          <w:lang w:val="zh-CN"/>
        </w:rPr>
      </w:pPr>
      <w:r>
        <w:rPr>
          <w:rFonts w:hint="eastAsia" w:ascii="宋体" w:hAnsi="宋体" w:eastAsia="宋体" w:cs="宋体"/>
          <w:b/>
          <w:bCs/>
          <w:color w:val="000000"/>
          <w:kern w:val="0"/>
        </w:rPr>
        <w:t>四、</w:t>
      </w:r>
      <w:r>
        <w:rPr>
          <w:rFonts w:hint="eastAsia" w:ascii="宋体" w:hAnsi="宋体" w:eastAsia="宋体" w:cs="宋体"/>
          <w:b/>
          <w:bCs/>
          <w:color w:val="000000"/>
          <w:kern w:val="0"/>
          <w:lang w:val="zh-CN"/>
        </w:rPr>
        <w:t>服务响应时间</w:t>
      </w:r>
    </w:p>
    <w:p w14:paraId="3C937BE3">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themeColor="text1"/>
          <w:kern w:val="0"/>
          <w:lang w:val="zh-CN"/>
          <w14:textFill>
            <w14:solidFill>
              <w14:schemeClr w14:val="tx1"/>
            </w14:solidFill>
          </w14:textFill>
        </w:rPr>
        <w:t>乙方</w:t>
      </w:r>
      <w:r>
        <w:rPr>
          <w:rFonts w:hint="eastAsia" w:ascii="宋体" w:hAnsi="宋体" w:eastAsia="宋体" w:cs="宋体"/>
          <w:color w:val="000000"/>
          <w:kern w:val="0"/>
          <w:lang w:val="zh-CN"/>
        </w:rPr>
        <w:t>提供7*24小时应急支撑响应，并承诺在接到服务请求后，30分钟内响应，1小时内到达现场处理问题，4小时内恢复系统，提供故障报告。</w:t>
      </w:r>
    </w:p>
    <w:p w14:paraId="2802AF7A">
      <w:pPr>
        <w:tabs>
          <w:tab w:val="left" w:pos="0"/>
        </w:tabs>
        <w:spacing w:line="440" w:lineRule="exact"/>
        <w:ind w:firstLine="482" w:firstLineChars="200"/>
        <w:rPr>
          <w:rFonts w:ascii="宋体" w:hAnsi="宋体" w:eastAsia="宋体" w:cs="宋体"/>
          <w:b/>
          <w:color w:val="000000"/>
          <w:kern w:val="0"/>
          <w:lang w:val="zh-CN"/>
        </w:rPr>
      </w:pPr>
      <w:r>
        <w:rPr>
          <w:rFonts w:hint="eastAsia" w:ascii="宋体" w:hAnsi="宋体" w:eastAsia="宋体" w:cs="宋体"/>
          <w:b/>
          <w:color w:val="000000" w:themeColor="text1"/>
          <w:kern w:val="0"/>
          <w14:textFill>
            <w14:solidFill>
              <w14:schemeClr w14:val="tx1"/>
            </w14:solidFill>
          </w14:textFill>
        </w:rPr>
        <w:t>五</w:t>
      </w:r>
      <w:r>
        <w:rPr>
          <w:rFonts w:hint="eastAsia" w:ascii="宋体" w:hAnsi="宋体" w:eastAsia="宋体" w:cs="宋体"/>
          <w:b/>
          <w:color w:val="000000" w:themeColor="text1"/>
          <w:kern w:val="0"/>
          <w:lang w:val="zh-CN"/>
          <w14:textFill>
            <w14:solidFill>
              <w14:schemeClr w14:val="tx1"/>
            </w14:solidFill>
          </w14:textFill>
        </w:rPr>
        <w:t>、</w:t>
      </w:r>
      <w:r>
        <w:rPr>
          <w:rFonts w:hint="eastAsia" w:ascii="宋体" w:hAnsi="宋体" w:eastAsia="宋体" w:cs="宋体"/>
          <w:b/>
          <w:color w:val="000000"/>
          <w:kern w:val="0"/>
          <w:lang w:val="zh-CN"/>
        </w:rPr>
        <w:t>采购标的验收标准</w:t>
      </w:r>
    </w:p>
    <w:p w14:paraId="0C4E5955">
      <w:pPr>
        <w:spacing w:line="440" w:lineRule="exact"/>
        <w:ind w:firstLine="480" w:firstLineChars="200"/>
        <w:rPr>
          <w:rFonts w:ascii="宋体" w:hAnsi="宋体" w:eastAsia="宋体" w:cs="宋体"/>
          <w:color w:val="000000"/>
          <w:kern w:val="0"/>
          <w:lang w:val="zh-CN"/>
        </w:rPr>
      </w:pPr>
      <w:r>
        <w:rPr>
          <w:rFonts w:hint="eastAsia" w:ascii="宋体" w:hAnsi="宋体" w:eastAsia="宋体" w:cs="宋体"/>
          <w:color w:val="000000"/>
          <w:kern w:val="0"/>
          <w:lang w:val="zh-CN"/>
        </w:rPr>
        <w:t>整体项目验收由</w:t>
      </w:r>
      <w:r>
        <w:rPr>
          <w:rFonts w:hint="eastAsia" w:ascii="宋体" w:hAnsi="宋体" w:eastAsia="宋体" w:cs="宋体"/>
          <w:color w:val="000000" w:themeColor="text1"/>
          <w:kern w:val="0"/>
          <w:lang w:val="zh-CN"/>
          <w14:textFill>
            <w14:solidFill>
              <w14:schemeClr w14:val="tx1"/>
            </w14:solidFill>
          </w14:textFill>
        </w:rPr>
        <w:t>大生集团进行验收，必要时</w:t>
      </w:r>
      <w:r>
        <w:rPr>
          <w:rFonts w:hint="eastAsia" w:ascii="宋体" w:hAnsi="宋体" w:eastAsia="宋体" w:cs="宋体"/>
          <w:color w:val="000000"/>
          <w:kern w:val="0"/>
          <w:lang w:val="zh-CN"/>
        </w:rPr>
        <w:t>组织专家进行评审验收，需要在验收前提交验收文档，包含项目过程文档，不限于项目需求说明、概要设计、详细设计、数据库设计、系统测试报告、培训资料、</w:t>
      </w:r>
      <w:r>
        <w:rPr>
          <w:rFonts w:hint="eastAsia" w:ascii="宋体" w:hAnsi="宋体" w:eastAsia="宋体" w:cs="宋体"/>
          <w:color w:val="000000"/>
          <w:kern w:val="0"/>
        </w:rPr>
        <w:t>系统操作手册</w:t>
      </w:r>
      <w:r>
        <w:rPr>
          <w:rFonts w:hint="eastAsia" w:ascii="宋体" w:hAnsi="宋体" w:eastAsia="宋体" w:cs="宋体"/>
          <w:color w:val="000000"/>
          <w:kern w:val="0"/>
          <w:lang w:val="zh-CN"/>
        </w:rPr>
        <w:t>、试运行报告等</w:t>
      </w:r>
      <w:r>
        <w:rPr>
          <w:rFonts w:hint="eastAsia" w:ascii="宋体" w:hAnsi="宋体" w:eastAsia="宋体" w:cs="宋体"/>
          <w:color w:val="000000" w:themeColor="text1"/>
          <w:kern w:val="0"/>
          <w:lang w:val="zh-CN"/>
          <w14:textFill>
            <w14:solidFill>
              <w14:schemeClr w14:val="tx1"/>
            </w14:solidFill>
          </w14:textFill>
        </w:rPr>
        <w:t>。</w:t>
      </w:r>
    </w:p>
    <w:p w14:paraId="64566A01">
      <w:pPr>
        <w:spacing w:line="440" w:lineRule="exact"/>
        <w:ind w:firstLine="482" w:firstLineChars="200"/>
        <w:rPr>
          <w:rFonts w:ascii="宋体" w:hAnsi="宋体" w:eastAsia="宋体" w:cs="宋体"/>
          <w:b/>
          <w:bCs/>
          <w:color w:val="000000" w:themeColor="text1"/>
          <w:kern w:val="0"/>
          <w:lang w:val="zh-CN"/>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六</w:t>
      </w:r>
      <w:r>
        <w:rPr>
          <w:rFonts w:hint="eastAsia" w:ascii="宋体" w:hAnsi="宋体" w:eastAsia="宋体" w:cs="宋体"/>
          <w:b/>
          <w:bCs/>
          <w:color w:val="000000" w:themeColor="text1"/>
          <w:kern w:val="0"/>
          <w:lang w:val="zh-CN"/>
          <w14:textFill>
            <w14:solidFill>
              <w14:schemeClr w14:val="tx1"/>
            </w14:solidFill>
          </w14:textFill>
        </w:rPr>
        <w:t>、其他要求</w:t>
      </w:r>
    </w:p>
    <w:p w14:paraId="3F120EB3">
      <w:pPr>
        <w:spacing w:line="440" w:lineRule="exact"/>
        <w:ind w:firstLine="480" w:firstLineChars="200"/>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乙方在系统开发涉及到的第三方接口对接不再另外向甲方收取费用。</w:t>
      </w:r>
    </w:p>
    <w:p w14:paraId="0A6B771C">
      <w:pPr>
        <w:spacing w:line="440" w:lineRule="exact"/>
        <w:ind w:firstLine="482" w:firstLineChars="200"/>
        <w:rPr>
          <w:rFonts w:ascii="宋体" w:hAnsi="宋体" w:eastAsia="宋体" w:cs="宋体"/>
          <w:b/>
          <w:bCs/>
          <w:color w:val="000000" w:themeColor="text1"/>
          <w:kern w:val="0"/>
          <w:lang w:val="zh-CN"/>
          <w14:textFill>
            <w14:solidFill>
              <w14:schemeClr w14:val="tx1"/>
            </w14:solidFill>
          </w14:textFill>
        </w:rPr>
      </w:pPr>
      <w:r>
        <w:rPr>
          <w:rFonts w:hint="eastAsia" w:ascii="宋体" w:hAnsi="宋体" w:eastAsia="宋体" w:cs="宋体"/>
          <w:b/>
          <w:bCs/>
          <w:color w:val="000000" w:themeColor="text1"/>
          <w:kern w:val="0"/>
          <w:lang w:val="zh-CN"/>
          <w14:textFill>
            <w14:solidFill>
              <w14:schemeClr w14:val="tx1"/>
            </w14:solidFill>
          </w14:textFill>
        </w:rPr>
        <w:t>七、项目合同金额</w:t>
      </w:r>
    </w:p>
    <w:p w14:paraId="6EB2655A">
      <w:pPr>
        <w:spacing w:line="440" w:lineRule="exact"/>
        <w:ind w:firstLine="480" w:firstLineChars="200"/>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1.合同总费用：人民币 ￥元，大写：人民币；</w:t>
      </w:r>
    </w:p>
    <w:p w14:paraId="1C5FA5F6">
      <w:pPr>
        <w:spacing w:line="440" w:lineRule="exact"/>
        <w:ind w:firstLine="480" w:firstLineChars="200"/>
        <w:rPr>
          <w:rFonts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2.</w:t>
      </w:r>
      <w:r>
        <w:rPr>
          <w:rFonts w:hint="eastAsia" w:ascii="宋体" w:hAnsi="宋体" w:eastAsia="宋体" w:cs="宋体"/>
          <w:color w:val="000000" w:themeColor="text1"/>
          <w:kern w:val="0"/>
          <w14:textFill>
            <w14:solidFill>
              <w14:schemeClr w14:val="tx1"/>
            </w14:solidFill>
          </w14:textFill>
        </w:rPr>
        <w:t>合同价包括</w:t>
      </w:r>
      <w:r>
        <w:rPr>
          <w:rFonts w:hint="eastAsia" w:ascii="宋体" w:hAnsi="宋体" w:eastAsia="宋体" w:cs="宋体"/>
        </w:rPr>
        <w:t>为完成本服务项目发生的所有含税费用、支付给员工的工资和国家强制缴纳的各种社会保障资金，以及乙方认为需要的其他费用等。除非因特殊原因并经买卖双方协商同意，乙方不得再要求追加任何费用。同时，除非合同条款中另有规定，否则，乙方的成交价在合同实施期间不因市场变化因素而变动。</w:t>
      </w:r>
    </w:p>
    <w:p w14:paraId="1022E76A">
      <w:pPr>
        <w:spacing w:line="440" w:lineRule="exact"/>
        <w:ind w:firstLine="482" w:firstLineChars="200"/>
        <w:rPr>
          <w:rFonts w:ascii="宋体" w:hAnsi="宋体" w:eastAsia="宋体" w:cs="宋体"/>
          <w:b/>
          <w:color w:val="000000"/>
          <w:kern w:val="0"/>
          <w:lang w:val="zh-CN"/>
        </w:rPr>
      </w:pPr>
      <w:r>
        <w:rPr>
          <w:rFonts w:hint="eastAsia" w:ascii="宋体" w:hAnsi="宋体" w:eastAsia="宋体" w:cs="宋体"/>
          <w:b/>
          <w:color w:val="000000" w:themeColor="text1"/>
          <w:kern w:val="0"/>
          <w14:textFill>
            <w14:solidFill>
              <w14:schemeClr w14:val="tx1"/>
            </w14:solidFill>
          </w14:textFill>
        </w:rPr>
        <w:t>八</w:t>
      </w:r>
      <w:r>
        <w:rPr>
          <w:rFonts w:hint="eastAsia" w:ascii="宋体" w:hAnsi="宋体" w:eastAsia="宋体" w:cs="宋体"/>
          <w:b/>
          <w:color w:val="000000" w:themeColor="text1"/>
          <w:kern w:val="0"/>
          <w:lang w:val="zh-CN"/>
          <w14:textFill>
            <w14:solidFill>
              <w14:schemeClr w14:val="tx1"/>
            </w14:solidFill>
          </w14:textFill>
        </w:rPr>
        <w:t>、</w:t>
      </w:r>
      <w:r>
        <w:rPr>
          <w:rFonts w:hint="eastAsia" w:ascii="宋体" w:hAnsi="宋体" w:eastAsia="宋体" w:cs="宋体"/>
          <w:b/>
          <w:color w:val="000000"/>
          <w:kern w:val="0"/>
          <w:lang w:val="zh-CN"/>
        </w:rPr>
        <w:t>付款方式</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5953"/>
      </w:tblGrid>
      <w:tr w14:paraId="59A6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0" w:type="dxa"/>
            <w:noWrap/>
            <w:vAlign w:val="center"/>
          </w:tcPr>
          <w:p w14:paraId="44951A0C">
            <w:pPr>
              <w:snapToGrid w:val="0"/>
              <w:spacing w:line="360" w:lineRule="auto"/>
              <w:jc w:val="center"/>
              <w:rPr>
                <w:rFonts w:ascii="宋体" w:hAnsi="宋体" w:eastAsia="宋体" w:cs="宋体"/>
                <w:b/>
                <w:color w:val="000000"/>
              </w:rPr>
            </w:pPr>
            <w:r>
              <w:rPr>
                <w:rFonts w:hint="eastAsia" w:ascii="宋体" w:hAnsi="宋体" w:eastAsia="宋体" w:cs="宋体"/>
                <w:b/>
                <w:color w:val="000000"/>
              </w:rPr>
              <w:t>序号</w:t>
            </w:r>
          </w:p>
        </w:tc>
        <w:tc>
          <w:tcPr>
            <w:tcW w:w="2835" w:type="dxa"/>
            <w:noWrap/>
            <w:vAlign w:val="center"/>
          </w:tcPr>
          <w:p w14:paraId="47A17740">
            <w:pPr>
              <w:snapToGrid w:val="0"/>
              <w:spacing w:line="360" w:lineRule="auto"/>
              <w:jc w:val="center"/>
              <w:rPr>
                <w:rFonts w:ascii="宋体" w:hAnsi="宋体" w:eastAsia="宋体" w:cs="宋体"/>
                <w:b/>
                <w:color w:val="000000"/>
              </w:rPr>
            </w:pPr>
            <w:r>
              <w:rPr>
                <w:rFonts w:hint="eastAsia" w:ascii="宋体" w:hAnsi="宋体" w:eastAsia="宋体" w:cs="宋体"/>
                <w:b/>
                <w:color w:val="000000"/>
              </w:rPr>
              <w:t>付款比例</w:t>
            </w:r>
          </w:p>
        </w:tc>
        <w:tc>
          <w:tcPr>
            <w:tcW w:w="5953" w:type="dxa"/>
            <w:noWrap/>
            <w:vAlign w:val="center"/>
          </w:tcPr>
          <w:p w14:paraId="799169C5">
            <w:pPr>
              <w:snapToGrid w:val="0"/>
              <w:spacing w:line="360" w:lineRule="auto"/>
              <w:jc w:val="center"/>
              <w:rPr>
                <w:rFonts w:ascii="宋体" w:hAnsi="宋体" w:eastAsia="宋体" w:cs="宋体"/>
                <w:b/>
                <w:color w:val="000000"/>
              </w:rPr>
            </w:pPr>
            <w:r>
              <w:rPr>
                <w:rFonts w:hint="eastAsia" w:ascii="宋体" w:hAnsi="宋体" w:eastAsia="宋体" w:cs="宋体"/>
                <w:b/>
                <w:color w:val="000000"/>
              </w:rPr>
              <w:t>支付条件</w:t>
            </w:r>
          </w:p>
        </w:tc>
      </w:tr>
      <w:tr w14:paraId="3002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14:paraId="7418D587">
            <w:pPr>
              <w:snapToGrid w:val="0"/>
              <w:spacing w:line="360" w:lineRule="auto"/>
              <w:jc w:val="center"/>
              <w:rPr>
                <w:rFonts w:ascii="宋体" w:hAnsi="宋体" w:eastAsia="宋体" w:cs="宋体"/>
                <w:color w:val="000000"/>
              </w:rPr>
            </w:pPr>
            <w:r>
              <w:rPr>
                <w:rFonts w:hint="eastAsia" w:ascii="宋体" w:hAnsi="宋体" w:eastAsia="宋体" w:cs="宋体"/>
                <w:color w:val="000000"/>
              </w:rPr>
              <w:t>1</w:t>
            </w:r>
          </w:p>
        </w:tc>
        <w:tc>
          <w:tcPr>
            <w:tcW w:w="2835" w:type="dxa"/>
            <w:noWrap/>
            <w:vAlign w:val="center"/>
          </w:tcPr>
          <w:p w14:paraId="1639CB62">
            <w:pPr>
              <w:snapToGrid w:val="0"/>
              <w:spacing w:line="360" w:lineRule="auto"/>
              <w:jc w:val="left"/>
              <w:rPr>
                <w:rFonts w:ascii="宋体" w:hAnsi="宋体" w:eastAsia="宋体" w:cs="宋体"/>
                <w:color w:val="000000"/>
              </w:rPr>
            </w:pPr>
            <w:r>
              <w:rPr>
                <w:rFonts w:hint="eastAsia" w:ascii="宋体" w:hAnsi="宋体" w:eastAsia="宋体" w:cs="宋体"/>
                <w:color w:val="000000"/>
              </w:rPr>
              <w:t>预付款：合同金额的40%</w:t>
            </w:r>
          </w:p>
        </w:tc>
        <w:tc>
          <w:tcPr>
            <w:tcW w:w="5953" w:type="dxa"/>
            <w:noWrap/>
            <w:vAlign w:val="center"/>
          </w:tcPr>
          <w:p w14:paraId="60593AFE">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合同金额40%的等额增值税发票（甲方收到乙方提供的合格的履约保函）</w:t>
            </w:r>
          </w:p>
        </w:tc>
      </w:tr>
      <w:tr w14:paraId="5A3F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14:paraId="2842260D">
            <w:pPr>
              <w:snapToGrid w:val="0"/>
              <w:spacing w:line="360" w:lineRule="auto"/>
              <w:jc w:val="center"/>
              <w:rPr>
                <w:rFonts w:ascii="宋体" w:hAnsi="宋体" w:eastAsia="宋体" w:cs="宋体"/>
                <w:color w:val="000000"/>
              </w:rPr>
            </w:pPr>
            <w:r>
              <w:rPr>
                <w:rFonts w:hint="eastAsia" w:ascii="宋体" w:hAnsi="宋体" w:eastAsia="宋体" w:cs="宋体"/>
                <w:color w:val="000000"/>
              </w:rPr>
              <w:t>2</w:t>
            </w:r>
          </w:p>
        </w:tc>
        <w:tc>
          <w:tcPr>
            <w:tcW w:w="2835" w:type="dxa"/>
            <w:noWrap/>
            <w:vAlign w:val="center"/>
          </w:tcPr>
          <w:p w14:paraId="14B13837">
            <w:pPr>
              <w:snapToGrid w:val="0"/>
              <w:spacing w:line="360" w:lineRule="auto"/>
              <w:jc w:val="left"/>
              <w:rPr>
                <w:rFonts w:ascii="宋体" w:hAnsi="宋体" w:eastAsia="宋体" w:cs="宋体"/>
                <w:color w:val="000000"/>
              </w:rPr>
            </w:pPr>
            <w:r>
              <w:rPr>
                <w:rFonts w:hint="eastAsia" w:ascii="宋体" w:hAnsi="宋体" w:eastAsia="宋体" w:cs="宋体"/>
                <w:color w:val="000000"/>
              </w:rPr>
              <w:t>阶段付款：合同金额的30%</w:t>
            </w:r>
          </w:p>
        </w:tc>
        <w:tc>
          <w:tcPr>
            <w:tcW w:w="5953" w:type="dxa"/>
            <w:noWrap/>
            <w:vAlign w:val="center"/>
          </w:tcPr>
          <w:p w14:paraId="6FA5CB42">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合同金额30%的等额增值税发票（甲方确认实施方案及需求分析报告，甲方系统安装测试完成后）</w:t>
            </w:r>
          </w:p>
        </w:tc>
      </w:tr>
      <w:tr w14:paraId="7EC0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noWrap/>
            <w:vAlign w:val="center"/>
          </w:tcPr>
          <w:p w14:paraId="3998C50B">
            <w:pPr>
              <w:snapToGrid w:val="0"/>
              <w:spacing w:line="360" w:lineRule="auto"/>
              <w:jc w:val="center"/>
              <w:rPr>
                <w:rFonts w:ascii="宋体" w:hAnsi="宋体" w:eastAsia="宋体" w:cs="宋体"/>
                <w:color w:val="000000"/>
              </w:rPr>
            </w:pPr>
            <w:r>
              <w:rPr>
                <w:rFonts w:hint="eastAsia" w:ascii="宋体" w:hAnsi="宋体" w:eastAsia="宋体" w:cs="宋体"/>
                <w:color w:val="000000"/>
              </w:rPr>
              <w:t>3</w:t>
            </w:r>
          </w:p>
        </w:tc>
        <w:tc>
          <w:tcPr>
            <w:tcW w:w="2835" w:type="dxa"/>
            <w:noWrap/>
            <w:vAlign w:val="center"/>
          </w:tcPr>
          <w:p w14:paraId="2D2268F6">
            <w:pPr>
              <w:snapToGrid w:val="0"/>
              <w:spacing w:line="360" w:lineRule="auto"/>
              <w:jc w:val="left"/>
              <w:rPr>
                <w:rFonts w:ascii="宋体" w:hAnsi="宋体" w:eastAsia="宋体" w:cs="宋体"/>
                <w:color w:val="000000"/>
              </w:rPr>
            </w:pPr>
            <w:r>
              <w:rPr>
                <w:rFonts w:hint="eastAsia" w:ascii="宋体" w:hAnsi="宋体" w:eastAsia="宋体" w:cs="宋体"/>
                <w:color w:val="000000"/>
              </w:rPr>
              <w:t>阶段付款：合同金额的25%</w:t>
            </w:r>
          </w:p>
        </w:tc>
        <w:tc>
          <w:tcPr>
            <w:tcW w:w="5953" w:type="dxa"/>
            <w:noWrap/>
            <w:vAlign w:val="center"/>
          </w:tcPr>
          <w:p w14:paraId="6DF7EDB7">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合同金额25%的等额增值税发票（系统验收通过后）</w:t>
            </w:r>
          </w:p>
        </w:tc>
      </w:tr>
      <w:tr w14:paraId="08B6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noWrap/>
            <w:vAlign w:val="center"/>
          </w:tcPr>
          <w:p w14:paraId="29A44B9C">
            <w:pPr>
              <w:snapToGrid w:val="0"/>
              <w:spacing w:line="360" w:lineRule="auto"/>
              <w:jc w:val="center"/>
              <w:rPr>
                <w:rFonts w:ascii="宋体" w:hAnsi="宋体" w:eastAsia="宋体" w:cs="宋体"/>
                <w:color w:val="000000"/>
              </w:rPr>
            </w:pPr>
            <w:r>
              <w:rPr>
                <w:rFonts w:hint="eastAsia" w:ascii="宋体" w:hAnsi="宋体" w:eastAsia="宋体" w:cs="宋体"/>
                <w:color w:val="000000"/>
              </w:rPr>
              <w:t>4</w:t>
            </w:r>
          </w:p>
        </w:tc>
        <w:tc>
          <w:tcPr>
            <w:tcW w:w="2835" w:type="dxa"/>
            <w:noWrap/>
            <w:vAlign w:val="center"/>
          </w:tcPr>
          <w:p w14:paraId="776F6C4D">
            <w:pPr>
              <w:snapToGrid w:val="0"/>
              <w:spacing w:line="360" w:lineRule="auto"/>
              <w:jc w:val="left"/>
              <w:rPr>
                <w:rFonts w:ascii="宋体" w:hAnsi="宋体" w:eastAsia="宋体" w:cs="宋体"/>
                <w:color w:val="000000"/>
              </w:rPr>
            </w:pPr>
            <w:r>
              <w:rPr>
                <w:rFonts w:hint="eastAsia" w:ascii="宋体" w:hAnsi="宋体" w:eastAsia="宋体" w:cs="宋体"/>
                <w:color w:val="000000"/>
              </w:rPr>
              <w:t>阶段付款：合同金额的5%</w:t>
            </w:r>
          </w:p>
        </w:tc>
        <w:tc>
          <w:tcPr>
            <w:tcW w:w="5953" w:type="dxa"/>
            <w:noWrap/>
            <w:vAlign w:val="center"/>
          </w:tcPr>
          <w:p w14:paraId="3119B1A3">
            <w:pPr>
              <w:snapToGrid w:val="0"/>
              <w:spacing w:line="360" w:lineRule="auto"/>
              <w:jc w:val="left"/>
              <w:rPr>
                <w:rFonts w:ascii="宋体" w:hAnsi="宋体" w:eastAsia="宋体" w:cs="宋体"/>
                <w:color w:val="000000"/>
              </w:rPr>
            </w:pPr>
            <w:r>
              <w:rPr>
                <w:rFonts w:hint="eastAsia" w:ascii="宋体" w:hAnsi="宋体" w:eastAsia="宋体" w:cs="宋体"/>
                <w:color w:val="000000"/>
              </w:rPr>
              <w:t>合同金额5%的等额增值税发票（2年质保期结束后）</w:t>
            </w:r>
          </w:p>
        </w:tc>
      </w:tr>
    </w:tbl>
    <w:p w14:paraId="505D1A2A">
      <w:pPr>
        <w:spacing w:line="360" w:lineRule="auto"/>
        <w:ind w:firstLine="482" w:firstLineChars="200"/>
        <w:rPr>
          <w:rFonts w:ascii="宋体" w:hAnsi="宋体" w:eastAsia="宋体" w:cs="宋体"/>
          <w:b/>
        </w:rPr>
      </w:pPr>
      <w:r>
        <w:rPr>
          <w:rFonts w:hint="eastAsia" w:ascii="宋体" w:hAnsi="宋体" w:eastAsia="宋体" w:cs="宋体"/>
          <w:b/>
        </w:rPr>
        <w:t>九、履约保证金</w:t>
      </w:r>
    </w:p>
    <w:p w14:paraId="6D5E5A48">
      <w:pPr>
        <w:snapToGrid w:val="0"/>
        <w:spacing w:line="360" w:lineRule="auto"/>
        <w:ind w:firstLine="470" w:firstLineChars="196"/>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1.本项目成交后的履约保证金为项目成交价的5% ，即</w:t>
      </w:r>
      <w:r>
        <w:rPr>
          <w:rFonts w:hint="eastAsia" w:ascii="宋体" w:hAnsi="宋体" w:eastAsia="宋体" w:cs="宋体"/>
          <w:color w:val="000000" w:themeColor="text1"/>
          <w:u w:val="single"/>
          <w14:textFill>
            <w14:solidFill>
              <w14:schemeClr w14:val="tx1"/>
            </w14:solidFill>
          </w14:textFill>
        </w:rPr>
        <w:t xml:space="preserve">         元</w:t>
      </w:r>
      <w:r>
        <w:rPr>
          <w:rFonts w:hint="eastAsia" w:ascii="宋体" w:hAnsi="宋体" w:eastAsia="宋体" w:cs="宋体"/>
          <w:color w:val="000000" w:themeColor="text1"/>
          <w14:textFill>
            <w14:solidFill>
              <w14:schemeClr w14:val="tx1"/>
            </w14:solidFill>
          </w14:textFill>
        </w:rPr>
        <w:t>。</w:t>
      </w:r>
    </w:p>
    <w:p w14:paraId="27B4F2A2">
      <w:pPr>
        <w:snapToGrid w:val="0"/>
        <w:spacing w:line="360" w:lineRule="auto"/>
        <w:ind w:firstLine="470" w:firstLineChars="196"/>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2.乙方在按要求保质保量的完成该项目合同并通过验收后，甲方凭乙方提交的申请，一次性无息退还该合同项目的履约保证金。（保险除外）</w:t>
      </w:r>
    </w:p>
    <w:p w14:paraId="37D899AB">
      <w:pPr>
        <w:snapToGrid w:val="0"/>
        <w:spacing w:line="360" w:lineRule="auto"/>
        <w:ind w:firstLine="470" w:firstLineChars="196"/>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3.由于乙方原因，在签订合同后出现不按合同履行的情况，甲方有权将履约保证金作为违约金，全额不予退还，同时甲方亦有权终止合同，乙方还须承担相应的法律赔偿责任。</w:t>
      </w:r>
    </w:p>
    <w:p w14:paraId="2092E729">
      <w:pPr>
        <w:spacing w:line="360" w:lineRule="auto"/>
        <w:ind w:firstLine="482"/>
        <w:rPr>
          <w:rFonts w:ascii="宋体" w:hAnsi="宋体" w:eastAsia="宋体" w:cs="宋体"/>
          <w:b/>
        </w:rPr>
      </w:pPr>
      <w:r>
        <w:rPr>
          <w:rFonts w:hint="eastAsia" w:ascii="宋体" w:hAnsi="宋体" w:eastAsia="宋体" w:cs="宋体"/>
          <w:b/>
        </w:rPr>
        <w:t>十、违约责任</w:t>
      </w:r>
    </w:p>
    <w:p w14:paraId="56A09073">
      <w:pPr>
        <w:tabs>
          <w:tab w:val="left" w:pos="900"/>
          <w:tab w:val="left" w:pos="1680"/>
        </w:tabs>
        <w:spacing w:line="360" w:lineRule="auto"/>
        <w:ind w:firstLine="480"/>
        <w:rPr>
          <w:rFonts w:ascii="宋体" w:hAnsi="宋体" w:eastAsia="宋体" w:cs="宋体"/>
        </w:rPr>
      </w:pPr>
      <w:r>
        <w:rPr>
          <w:rFonts w:hint="eastAsia" w:ascii="宋体" w:hAnsi="宋体" w:eastAsia="宋体" w:cs="宋体"/>
        </w:rPr>
        <w:t>1.如因甲方的业务需求产生重大变更、外在不可抗力因素等原因，致使项目期限需要延长的，乙方应及时知会甲方，在取得甲方同意的情况下，工期可以适度顺延，但累计延期不得超过30天。</w:t>
      </w:r>
    </w:p>
    <w:p w14:paraId="6D9094DC">
      <w:pPr>
        <w:tabs>
          <w:tab w:val="left" w:pos="900"/>
          <w:tab w:val="left" w:pos="1680"/>
        </w:tabs>
        <w:spacing w:line="360" w:lineRule="auto"/>
        <w:ind w:firstLine="480"/>
        <w:rPr>
          <w:rFonts w:ascii="宋体" w:hAnsi="宋体" w:eastAsia="宋体" w:cs="宋体"/>
        </w:rPr>
      </w:pPr>
      <w:r>
        <w:rPr>
          <w:rFonts w:hint="eastAsia" w:ascii="宋体" w:hAnsi="宋体" w:eastAsia="宋体" w:cs="宋体"/>
        </w:rPr>
        <w:t>2.如因甲方人员不积极配合或有重大过失行为，导致项目延误，乙方有权适当顺延项目期限，甲方应承担由此引起的延期责任。</w:t>
      </w:r>
    </w:p>
    <w:p w14:paraId="398B3185">
      <w:pPr>
        <w:tabs>
          <w:tab w:val="left" w:pos="900"/>
          <w:tab w:val="left" w:pos="1680"/>
        </w:tabs>
        <w:spacing w:line="360" w:lineRule="auto"/>
        <w:ind w:firstLine="480"/>
        <w:rPr>
          <w:rFonts w:ascii="宋体" w:hAnsi="宋体" w:eastAsia="宋体" w:cs="宋体"/>
        </w:rPr>
      </w:pPr>
      <w:r>
        <w:rPr>
          <w:rFonts w:hint="eastAsia" w:ascii="宋体" w:hAnsi="宋体" w:eastAsia="宋体" w:cs="宋体"/>
        </w:rPr>
        <w:t>3.剔除以上因素，如乙方不能按合同约定按时完成项目、或项目质量达不到甲方要求，甲方有权单方解除本合同，且乙方应如数向甲方退回所收款项，并承担合同金额10%的违约金。本合同自甲方解除通知发出之日起自动解除。</w:t>
      </w:r>
    </w:p>
    <w:p w14:paraId="05AE765F">
      <w:pPr>
        <w:spacing w:line="360" w:lineRule="auto"/>
        <w:ind w:firstLine="480"/>
        <w:rPr>
          <w:rFonts w:ascii="宋体" w:hAnsi="宋体" w:eastAsia="宋体" w:cs="宋体"/>
        </w:rPr>
      </w:pPr>
      <w:r>
        <w:rPr>
          <w:rFonts w:hint="eastAsia" w:ascii="宋体" w:hAnsi="宋体" w:eastAsia="宋体" w:cs="宋体"/>
        </w:rPr>
        <w:t>4.如乙方无正当理由逾期交付软件，从应交付之日起，甲方有权按合同总价的千分之三/天扣减相应的合同金额，不足部分由乙方承担赔偿责任。</w:t>
      </w:r>
    </w:p>
    <w:p w14:paraId="0B84B388">
      <w:pPr>
        <w:tabs>
          <w:tab w:val="left" w:pos="900"/>
          <w:tab w:val="left" w:pos="1680"/>
        </w:tabs>
        <w:spacing w:line="360" w:lineRule="auto"/>
        <w:ind w:firstLine="480"/>
        <w:rPr>
          <w:rFonts w:ascii="宋体" w:hAnsi="宋体" w:eastAsia="宋体" w:cs="宋体"/>
        </w:rPr>
      </w:pPr>
      <w:r>
        <w:rPr>
          <w:rFonts w:hint="eastAsia" w:ascii="宋体" w:hAnsi="宋体" w:eastAsia="宋体" w:cs="宋体"/>
        </w:rPr>
        <w:t>5.如乙方维护消极，甲方有权视情况扣减相应合同金额。如乙方未按维护条款及时响应或及时排除技术故障的，甲方有权邀请其他技术单位解除相应故障，由此产生的费用由甲方在乙方的维护费用中另行双倍扣除，不足部分由乙方承担赔偿责任。</w:t>
      </w:r>
    </w:p>
    <w:p w14:paraId="0B66332A">
      <w:pPr>
        <w:spacing w:line="360" w:lineRule="auto"/>
        <w:ind w:firstLine="482"/>
        <w:rPr>
          <w:rFonts w:ascii="宋体" w:hAnsi="宋体" w:eastAsia="宋体" w:cs="宋体"/>
          <w:b/>
        </w:rPr>
      </w:pPr>
      <w:r>
        <w:rPr>
          <w:rFonts w:hint="eastAsia" w:ascii="宋体" w:hAnsi="宋体" w:eastAsia="宋体" w:cs="宋体"/>
          <w:b/>
        </w:rPr>
        <w:t>十、不可抗力</w:t>
      </w:r>
    </w:p>
    <w:p w14:paraId="26137516">
      <w:pPr>
        <w:spacing w:line="360" w:lineRule="auto"/>
        <w:ind w:firstLine="480"/>
        <w:rPr>
          <w:rFonts w:ascii="宋体" w:hAnsi="宋体" w:eastAsia="宋体" w:cs="宋体"/>
        </w:rPr>
      </w:pPr>
      <w:r>
        <w:rPr>
          <w:rFonts w:hint="eastAsia" w:ascii="宋体" w:hAnsi="宋体" w:eastAsia="宋体" w:cs="宋体"/>
        </w:rPr>
        <w:t>甲乙双方任何一方由于不可抗力（如地震、洪水、火灾）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7F3FC507">
      <w:pPr>
        <w:spacing w:line="360" w:lineRule="auto"/>
        <w:ind w:firstLine="482"/>
        <w:rPr>
          <w:rFonts w:ascii="宋体" w:hAnsi="宋体" w:eastAsia="宋体" w:cs="宋体"/>
          <w:b/>
        </w:rPr>
      </w:pPr>
      <w:r>
        <w:rPr>
          <w:rFonts w:hint="eastAsia" w:ascii="宋体" w:hAnsi="宋体" w:eastAsia="宋体" w:cs="宋体"/>
          <w:b/>
        </w:rPr>
        <w:t>十一、争议的解决</w:t>
      </w:r>
    </w:p>
    <w:p w14:paraId="149EDD9D">
      <w:pPr>
        <w:tabs>
          <w:tab w:val="left" w:pos="900"/>
          <w:tab w:val="left" w:pos="1680"/>
        </w:tabs>
        <w:spacing w:line="360" w:lineRule="auto"/>
        <w:ind w:firstLine="480"/>
        <w:rPr>
          <w:rFonts w:ascii="宋体" w:hAnsi="宋体" w:eastAsia="宋体" w:cs="宋体"/>
        </w:rPr>
      </w:pPr>
      <w:r>
        <w:rPr>
          <w:rFonts w:hint="eastAsia" w:ascii="宋体" w:hAnsi="宋体" w:eastAsia="宋体" w:cs="宋体"/>
        </w:rPr>
        <w:t>若执行本合同的过程中发生纠纷，双方当事人应当及时协商解决；协商不成时，则提交甲方所在地有管辖权之人民法院提起诉讼。</w:t>
      </w:r>
    </w:p>
    <w:p w14:paraId="10A56E15">
      <w:pPr>
        <w:spacing w:line="360" w:lineRule="auto"/>
        <w:ind w:firstLine="482"/>
        <w:rPr>
          <w:rFonts w:ascii="宋体" w:hAnsi="宋体" w:eastAsia="宋体" w:cs="宋体"/>
          <w:b/>
        </w:rPr>
      </w:pPr>
      <w:r>
        <w:rPr>
          <w:rFonts w:hint="eastAsia" w:ascii="宋体" w:hAnsi="宋体" w:eastAsia="宋体" w:cs="宋体"/>
          <w:b/>
        </w:rPr>
        <w:t>十二、无效合同</w:t>
      </w:r>
    </w:p>
    <w:p w14:paraId="631C0B09">
      <w:pPr>
        <w:spacing w:line="360" w:lineRule="auto"/>
        <w:ind w:firstLine="480"/>
        <w:rPr>
          <w:rFonts w:ascii="宋体" w:hAnsi="宋体" w:eastAsia="宋体" w:cs="宋体"/>
        </w:rPr>
      </w:pPr>
      <w:r>
        <w:rPr>
          <w:rFonts w:hint="eastAsia" w:ascii="宋体" w:hAnsi="宋体" w:eastAsia="宋体" w:cs="宋体"/>
        </w:rPr>
        <w:t>甲乙双方如因违反法律和有关规定，合同被宣告无效的，有过错的一方应当承担赔偿责任，双方都有过错的，各自承担相应的责任。</w:t>
      </w:r>
    </w:p>
    <w:p w14:paraId="547CC218">
      <w:pPr>
        <w:spacing w:line="360" w:lineRule="auto"/>
        <w:ind w:firstLine="482"/>
        <w:rPr>
          <w:rFonts w:ascii="宋体" w:hAnsi="宋体" w:eastAsia="宋体" w:cs="宋体"/>
          <w:b/>
        </w:rPr>
      </w:pPr>
      <w:r>
        <w:rPr>
          <w:rFonts w:hint="eastAsia" w:ascii="宋体" w:hAnsi="宋体" w:eastAsia="宋体" w:cs="宋体"/>
          <w:b/>
        </w:rPr>
        <w:t>十三、合同权利义务转让/变更/修改/补充</w:t>
      </w:r>
    </w:p>
    <w:p w14:paraId="06156F87">
      <w:pPr>
        <w:tabs>
          <w:tab w:val="left" w:pos="900"/>
          <w:tab w:val="left" w:pos="1680"/>
        </w:tabs>
        <w:spacing w:line="360" w:lineRule="auto"/>
        <w:ind w:firstLine="480"/>
        <w:rPr>
          <w:rFonts w:ascii="宋体" w:hAnsi="宋体" w:eastAsia="宋体" w:cs="宋体"/>
        </w:rPr>
      </w:pPr>
      <w:r>
        <w:rPr>
          <w:rFonts w:hint="eastAsia" w:ascii="宋体" w:hAnsi="宋体" w:eastAsia="宋体" w:cs="宋体"/>
        </w:rPr>
        <w:t>1、未经甲方书面同意，乙方不得将本合同的任何权利和义务转让给第三方，否则甲方有权拒绝向乙方支付合同款项。任何一方不应将合同的全部或任何部分、或合同及根据合同所具有的任何利益或权益转让他人，也不得将合同用于抵押、质押、留置或担保。</w:t>
      </w:r>
    </w:p>
    <w:p w14:paraId="7B586A65">
      <w:pPr>
        <w:tabs>
          <w:tab w:val="left" w:pos="900"/>
          <w:tab w:val="left" w:pos="1680"/>
        </w:tabs>
        <w:spacing w:line="360" w:lineRule="auto"/>
        <w:ind w:firstLine="480"/>
        <w:rPr>
          <w:rFonts w:ascii="宋体" w:hAnsi="宋体" w:eastAsia="宋体" w:cs="宋体"/>
        </w:rPr>
      </w:pPr>
      <w:r>
        <w:rPr>
          <w:rFonts w:hint="eastAsia" w:ascii="宋体" w:hAnsi="宋体" w:eastAsia="宋体" w:cs="宋体"/>
        </w:rPr>
        <w:t>2、管辖恒定：本合同中关于管辖权的约定是唯一的，任何一方不得通过债权转让或其他方式对涉及本合同约定事项或与之相关的事项的争议解决方式进行另行约定或对本合同关于管辖权的约定进行变更，如发生类似情形，该等约定亦属无效。</w:t>
      </w:r>
    </w:p>
    <w:p w14:paraId="33D5EFA6">
      <w:pPr>
        <w:spacing w:line="360" w:lineRule="auto"/>
        <w:ind w:firstLine="482"/>
        <w:rPr>
          <w:rFonts w:ascii="宋体" w:hAnsi="宋体" w:eastAsia="宋体" w:cs="宋体"/>
          <w:b/>
        </w:rPr>
      </w:pPr>
      <w:r>
        <w:rPr>
          <w:rFonts w:hint="eastAsia" w:ascii="宋体" w:hAnsi="宋体" w:eastAsia="宋体" w:cs="宋体"/>
          <w:b/>
        </w:rPr>
        <w:t>十四、技术成果和知识产权</w:t>
      </w:r>
    </w:p>
    <w:p w14:paraId="0F4129FA">
      <w:pPr>
        <w:spacing w:line="360" w:lineRule="auto"/>
        <w:ind w:firstLine="48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应保证本项目采购人合同标的物的任何部分均不受第三方关于侵犯其所有权，专利权、商标权等一切可能的知识产权侵权的指控。甲方或最终用户因此而受到的全部损失包括对第三方的任何赔偿、补偿、垫付的款项以及应对指控而支出的全部费用，均由乙方承担。</w:t>
      </w:r>
    </w:p>
    <w:p w14:paraId="4C7CFCC1">
      <w:pPr>
        <w:spacing w:line="360" w:lineRule="auto"/>
        <w:ind w:firstLine="482"/>
        <w:rPr>
          <w:rFonts w:ascii="宋体" w:hAnsi="宋体" w:eastAsia="宋体" w:cs="宋体"/>
          <w:b/>
        </w:rPr>
      </w:pPr>
      <w:r>
        <w:rPr>
          <w:rFonts w:hint="eastAsia" w:ascii="宋体" w:hAnsi="宋体" w:eastAsia="宋体" w:cs="宋体"/>
          <w:b/>
        </w:rPr>
        <w:t>十五、合同的解除和转让</w:t>
      </w:r>
    </w:p>
    <w:p w14:paraId="511DD7C6">
      <w:pPr>
        <w:snapToGrid w:val="0"/>
        <w:spacing w:line="360" w:lineRule="auto"/>
        <w:ind w:firstLine="573"/>
        <w:rPr>
          <w:rFonts w:ascii="宋体" w:hAnsi="宋体" w:eastAsia="宋体" w:cs="宋体"/>
        </w:rPr>
      </w:pPr>
      <w:r>
        <w:rPr>
          <w:rFonts w:hint="eastAsia" w:ascii="宋体" w:hAnsi="宋体" w:eastAsia="宋体" w:cs="宋体"/>
        </w:rPr>
        <w:t>1、 甲方和乙方协商一致，可以解除合同。</w:t>
      </w:r>
    </w:p>
    <w:p w14:paraId="0EEDB61A">
      <w:pPr>
        <w:snapToGrid w:val="0"/>
        <w:spacing w:line="360" w:lineRule="auto"/>
        <w:ind w:firstLine="573"/>
        <w:rPr>
          <w:rFonts w:ascii="宋体" w:hAnsi="宋体" w:eastAsia="宋体" w:cs="宋体"/>
        </w:rPr>
      </w:pPr>
      <w:r>
        <w:rPr>
          <w:rFonts w:hint="eastAsia" w:ascii="宋体" w:hAnsi="宋体" w:eastAsia="宋体" w:cs="宋体"/>
        </w:rPr>
        <w:t>（1）有下列情形之一，合同一方可以解除合同：</w:t>
      </w:r>
    </w:p>
    <w:p w14:paraId="44F99900">
      <w:pPr>
        <w:snapToGrid w:val="0"/>
        <w:spacing w:line="360" w:lineRule="auto"/>
        <w:ind w:firstLine="573"/>
        <w:rPr>
          <w:rFonts w:ascii="宋体" w:hAnsi="宋体" w:eastAsia="宋体" w:cs="宋体"/>
        </w:rPr>
      </w:pPr>
      <w:r>
        <w:rPr>
          <w:rFonts w:hint="eastAsia" w:ascii="宋体" w:hAnsi="宋体" w:eastAsia="宋体" w:cs="宋体"/>
        </w:rPr>
        <w:t>因不可抗力致使不能实现合同目的，未受不可抗力影响的一方有权解除合同；</w:t>
      </w:r>
    </w:p>
    <w:p w14:paraId="5997F158">
      <w:pPr>
        <w:snapToGrid w:val="0"/>
        <w:spacing w:line="360" w:lineRule="auto"/>
        <w:ind w:firstLine="573"/>
        <w:rPr>
          <w:rFonts w:ascii="宋体" w:hAnsi="宋体" w:eastAsia="宋体" w:cs="宋体"/>
        </w:rPr>
      </w:pPr>
      <w:r>
        <w:rPr>
          <w:rFonts w:hint="eastAsia" w:ascii="宋体" w:hAnsi="宋体" w:eastAsia="宋体" w:cs="宋体"/>
        </w:rPr>
        <w:t>因合同一方违约导致合同不能履行，另一方有权解除合同</w:t>
      </w:r>
    </w:p>
    <w:p w14:paraId="526F786E">
      <w:pPr>
        <w:snapToGrid w:val="0"/>
        <w:spacing w:line="360" w:lineRule="auto"/>
        <w:ind w:firstLine="573"/>
        <w:rPr>
          <w:rFonts w:ascii="宋体" w:hAnsi="宋体" w:eastAsia="宋体" w:cs="宋体"/>
        </w:rPr>
      </w:pPr>
      <w:r>
        <w:rPr>
          <w:rFonts w:hint="eastAsia" w:ascii="宋体" w:hAnsi="宋体" w:eastAsia="宋体" w:cs="宋体"/>
        </w:rPr>
        <w:t>有权解除合同的一方，应当在违约事实或不可抗力发生之后三十天内书面通知对方以主张解除合同，合同在书面通知到达对方时解除。</w:t>
      </w:r>
    </w:p>
    <w:p w14:paraId="41F3339F">
      <w:pPr>
        <w:snapToGrid w:val="0"/>
        <w:spacing w:line="360" w:lineRule="auto"/>
        <w:ind w:firstLine="573"/>
        <w:rPr>
          <w:rFonts w:ascii="宋体" w:hAnsi="宋体" w:eastAsia="宋体" w:cs="宋体"/>
        </w:rPr>
      </w:pPr>
      <w:r>
        <w:rPr>
          <w:rFonts w:hint="eastAsia" w:ascii="宋体" w:hAnsi="宋体" w:eastAsia="宋体" w:cs="宋体"/>
        </w:rPr>
        <w:t>（2）合同的部分和全部都不得转让。</w:t>
      </w:r>
    </w:p>
    <w:p w14:paraId="78924A29">
      <w:pPr>
        <w:snapToGrid w:val="0"/>
        <w:spacing w:line="360" w:lineRule="auto"/>
        <w:ind w:firstLine="573"/>
        <w:rPr>
          <w:rFonts w:ascii="宋体" w:hAnsi="宋体" w:eastAsia="宋体" w:cs="宋体"/>
          <w:b/>
        </w:rPr>
      </w:pPr>
      <w:r>
        <w:rPr>
          <w:rFonts w:hint="eastAsia" w:ascii="宋体" w:hAnsi="宋体" w:eastAsia="宋体" w:cs="宋体"/>
          <w:b/>
        </w:rPr>
        <w:t>十六、合同的生效及备案</w:t>
      </w:r>
    </w:p>
    <w:p w14:paraId="2275C1A8">
      <w:pPr>
        <w:snapToGrid w:val="0"/>
        <w:spacing w:line="360" w:lineRule="auto"/>
        <w:ind w:firstLine="573"/>
        <w:rPr>
          <w:rFonts w:ascii="宋体" w:hAnsi="宋体" w:eastAsia="宋体" w:cs="宋体"/>
        </w:rPr>
      </w:pPr>
      <w:r>
        <w:rPr>
          <w:rFonts w:hint="eastAsia" w:ascii="宋体" w:hAnsi="宋体" w:eastAsia="宋体" w:cs="宋体"/>
        </w:rPr>
        <w:t>本合同在乙方缴纳履约保证金，甲乙双方签字盖章后生效</w:t>
      </w:r>
      <w:r>
        <w:rPr>
          <w:rFonts w:hint="eastAsia" w:ascii="宋体" w:hAnsi="宋体" w:eastAsia="宋体" w:cs="宋体"/>
          <w:color w:val="000000"/>
        </w:rPr>
        <w:t>。</w:t>
      </w:r>
    </w:p>
    <w:p w14:paraId="334553EE">
      <w:pPr>
        <w:snapToGrid w:val="0"/>
        <w:spacing w:line="360" w:lineRule="auto"/>
        <w:ind w:firstLine="573"/>
        <w:rPr>
          <w:rFonts w:ascii="宋体" w:hAnsi="宋体" w:eastAsia="宋体" w:cs="宋体"/>
          <w:b/>
        </w:rPr>
      </w:pPr>
      <w:r>
        <w:rPr>
          <w:rFonts w:hint="eastAsia" w:ascii="宋体" w:hAnsi="宋体" w:eastAsia="宋体" w:cs="宋体"/>
          <w:b/>
        </w:rPr>
        <w:t>十七、争议的解决</w:t>
      </w:r>
    </w:p>
    <w:p w14:paraId="0D194F75">
      <w:pPr>
        <w:snapToGrid w:val="0"/>
        <w:spacing w:line="360" w:lineRule="auto"/>
        <w:ind w:firstLine="573"/>
        <w:rPr>
          <w:rFonts w:ascii="宋体" w:hAnsi="宋体" w:eastAsia="宋体" w:cs="宋体"/>
        </w:rPr>
      </w:pPr>
      <w:r>
        <w:rPr>
          <w:rFonts w:hint="eastAsia" w:ascii="宋体" w:hAnsi="宋体" w:eastAsia="宋体" w:cs="宋体"/>
        </w:rPr>
        <w:t>甲乙双方因合同发生争议，应在采购单位的主持下进行调解，协商不成，任何一方可以向南通仲裁委员会申请仲裁解决。</w:t>
      </w:r>
    </w:p>
    <w:p w14:paraId="040008EB">
      <w:pPr>
        <w:snapToGrid w:val="0"/>
        <w:spacing w:line="360" w:lineRule="auto"/>
        <w:ind w:firstLine="573"/>
        <w:rPr>
          <w:rFonts w:ascii="宋体" w:hAnsi="宋体" w:eastAsia="宋体" w:cs="宋体"/>
          <w:b/>
        </w:rPr>
      </w:pPr>
      <w:r>
        <w:rPr>
          <w:rFonts w:hint="eastAsia" w:ascii="宋体" w:hAnsi="宋体" w:eastAsia="宋体" w:cs="宋体"/>
          <w:b/>
        </w:rPr>
        <w:t>十八、附则</w:t>
      </w:r>
    </w:p>
    <w:p w14:paraId="46400C69">
      <w:pPr>
        <w:snapToGrid w:val="0"/>
        <w:spacing w:line="360" w:lineRule="auto"/>
        <w:ind w:firstLine="573"/>
        <w:rPr>
          <w:rFonts w:ascii="宋体" w:hAnsi="宋体" w:eastAsia="宋体" w:cs="宋体"/>
        </w:rPr>
      </w:pPr>
      <w:r>
        <w:rPr>
          <w:rFonts w:hint="eastAsia" w:ascii="宋体" w:hAnsi="宋体" w:eastAsia="宋体" w:cs="宋体"/>
        </w:rPr>
        <w:t>1、合同份数：合同一式肆份，采购人、乙方各执贰份。</w:t>
      </w:r>
    </w:p>
    <w:p w14:paraId="414B2D85">
      <w:pPr>
        <w:snapToGrid w:val="0"/>
        <w:spacing w:line="360" w:lineRule="auto"/>
        <w:ind w:firstLine="573"/>
        <w:rPr>
          <w:rFonts w:ascii="宋体" w:hAnsi="宋体" w:eastAsia="宋体" w:cs="宋体"/>
        </w:rPr>
      </w:pPr>
      <w:r>
        <w:rPr>
          <w:rFonts w:hint="eastAsia" w:ascii="宋体" w:hAnsi="宋体" w:eastAsia="宋体" w:cs="宋体"/>
        </w:rPr>
        <w:t>2、本合同文件使用中文书写、解释和说明。</w:t>
      </w:r>
    </w:p>
    <w:p w14:paraId="4F9662A5">
      <w:pPr>
        <w:snapToGrid w:val="0"/>
        <w:spacing w:line="360" w:lineRule="auto"/>
        <w:ind w:firstLine="573"/>
        <w:rPr>
          <w:rFonts w:ascii="宋体" w:hAnsi="宋体" w:eastAsia="宋体" w:cs="宋体"/>
        </w:rPr>
      </w:pPr>
      <w:r>
        <w:rPr>
          <w:rFonts w:hint="eastAsia" w:ascii="宋体" w:hAnsi="宋体" w:eastAsia="宋体" w:cs="宋体"/>
        </w:rPr>
        <w:t>3、本合同履行过程中产生的纪要、协议以及成交通知书、采购响应文件和采购文件为本合同的附件，与合同具有同等效力。</w:t>
      </w:r>
    </w:p>
    <w:p w14:paraId="51082C41">
      <w:pPr>
        <w:snapToGrid w:val="0"/>
        <w:spacing w:line="360" w:lineRule="auto"/>
        <w:ind w:firstLine="573"/>
        <w:rPr>
          <w:rFonts w:ascii="宋体" w:hAnsi="宋体" w:eastAsia="宋体" w:cs="宋体"/>
        </w:rPr>
      </w:pPr>
      <w:r>
        <w:rPr>
          <w:rFonts w:hint="eastAsia" w:ascii="宋体" w:hAnsi="宋体" w:eastAsia="宋体" w:cs="宋体"/>
        </w:rPr>
        <w:t>4、未尽事宜</w:t>
      </w:r>
    </w:p>
    <w:p w14:paraId="50CA4B83">
      <w:pPr>
        <w:snapToGrid w:val="0"/>
        <w:spacing w:line="360" w:lineRule="auto"/>
        <w:ind w:firstLine="573"/>
        <w:rPr>
          <w:rFonts w:ascii="宋体" w:hAnsi="宋体" w:eastAsia="宋体" w:cs="宋体"/>
        </w:rPr>
      </w:pPr>
      <w:r>
        <w:rPr>
          <w:rFonts w:hint="eastAsia" w:ascii="宋体" w:hAnsi="宋体" w:eastAsia="宋体" w:cs="宋体"/>
        </w:rPr>
        <w:t>本合同未尽事宜应按照《中华人民共和国民法典》及其相关配套法律法规之规定解释。</w:t>
      </w:r>
    </w:p>
    <w:p w14:paraId="49CB53DF">
      <w:pPr>
        <w:snapToGrid w:val="0"/>
        <w:spacing w:line="360" w:lineRule="auto"/>
        <w:ind w:firstLine="573"/>
        <w:rPr>
          <w:rFonts w:ascii="宋体" w:hAnsi="宋体" w:eastAsia="宋体" w:cs="宋体"/>
        </w:rPr>
      </w:pPr>
    </w:p>
    <w:p w14:paraId="0D262882">
      <w:pPr>
        <w:pStyle w:val="2"/>
        <w:ind w:left="0" w:leftChars="0" w:firstLine="0" w:firstLineChars="0"/>
        <w:rPr>
          <w:rFonts w:ascii="宋体" w:hAnsi="宋体" w:cs="宋体"/>
        </w:rPr>
      </w:pPr>
    </w:p>
    <w:p w14:paraId="0980125B">
      <w:pPr>
        <w:snapToGrid w:val="0"/>
        <w:spacing w:line="360" w:lineRule="auto"/>
        <w:ind w:firstLine="573"/>
        <w:rPr>
          <w:rFonts w:ascii="宋体" w:hAnsi="宋体" w:eastAsia="宋体" w:cs="宋体"/>
        </w:rPr>
      </w:pPr>
      <w:r>
        <w:rPr>
          <w:rFonts w:hint="eastAsia" w:ascii="宋体" w:hAnsi="宋体" w:eastAsia="宋体" w:cs="宋体"/>
        </w:rPr>
        <w:t>采购单位（盖章）：                  供应商（盖章）：</w:t>
      </w:r>
    </w:p>
    <w:p w14:paraId="1F7C0FB2">
      <w:pPr>
        <w:snapToGrid w:val="0"/>
        <w:spacing w:line="360" w:lineRule="auto"/>
        <w:ind w:firstLine="573"/>
        <w:rPr>
          <w:rFonts w:ascii="宋体" w:hAnsi="宋体" w:eastAsia="宋体" w:cs="宋体"/>
        </w:rPr>
      </w:pPr>
      <w:r>
        <w:rPr>
          <w:rFonts w:hint="eastAsia" w:ascii="宋体" w:hAnsi="宋体" w:eastAsia="宋体" w:cs="宋体"/>
        </w:rPr>
        <w:t>法定代表人（签字）：                法定代表人（签字）：</w:t>
      </w:r>
    </w:p>
    <w:p w14:paraId="116C4EC8">
      <w:pPr>
        <w:snapToGrid w:val="0"/>
        <w:spacing w:line="360" w:lineRule="auto"/>
        <w:ind w:firstLine="573"/>
        <w:rPr>
          <w:rFonts w:ascii="宋体" w:hAnsi="宋体" w:eastAsia="宋体" w:cs="宋体"/>
        </w:rPr>
      </w:pPr>
      <w:r>
        <w:rPr>
          <w:rFonts w:hint="eastAsia" w:ascii="宋体" w:hAnsi="宋体" w:eastAsia="宋体" w:cs="宋体"/>
        </w:rPr>
        <w:t>或委托代理人（签字）：              或委托代理人（签字）：</w:t>
      </w:r>
    </w:p>
    <w:p w14:paraId="66C83099">
      <w:pPr>
        <w:snapToGrid w:val="0"/>
        <w:spacing w:line="360" w:lineRule="auto"/>
        <w:ind w:firstLine="480" w:firstLineChars="200"/>
        <w:contextualSpacing/>
        <w:rPr>
          <w:rFonts w:ascii="宋体" w:hAnsi="宋体" w:eastAsia="宋体" w:cs="宋体"/>
        </w:rPr>
      </w:pPr>
    </w:p>
    <w:p w14:paraId="570B0B5F">
      <w:pPr>
        <w:snapToGrid w:val="0"/>
        <w:spacing w:line="360" w:lineRule="auto"/>
        <w:ind w:firstLine="480" w:firstLineChars="200"/>
        <w:contextualSpacing/>
      </w:pPr>
      <w:r>
        <w:rPr>
          <w:rFonts w:hint="eastAsia" w:ascii="宋体" w:hAnsi="宋体" w:eastAsia="宋体" w:cs="宋体"/>
        </w:rPr>
        <w:t>年  月  日</w:t>
      </w:r>
    </w:p>
    <w:p w14:paraId="12B9BDC3">
      <w:pPr>
        <w:spacing w:line="360" w:lineRule="auto"/>
        <w:jc w:val="left"/>
        <w:rPr>
          <w:rFonts w:ascii="宋体" w:hAnsi="宋体" w:eastAsia="宋体" w:cs="宋体"/>
          <w:b/>
          <w:color w:val="000000"/>
        </w:rPr>
      </w:pPr>
    </w:p>
    <w:p w14:paraId="338ECB73">
      <w:pPr>
        <w:spacing w:line="360" w:lineRule="auto"/>
        <w:jc w:val="left"/>
        <w:rPr>
          <w:rFonts w:ascii="宋体" w:hAnsi="宋体" w:eastAsia="宋体" w:cs="宋体"/>
          <w:b/>
          <w:color w:val="000000"/>
        </w:rPr>
      </w:pPr>
      <w:r>
        <w:rPr>
          <w:rFonts w:hint="eastAsia" w:ascii="宋体" w:hAnsi="宋体" w:eastAsia="宋体" w:cs="宋体"/>
          <w:b/>
          <w:color w:val="000000"/>
        </w:rPr>
        <w:t>附件：</w:t>
      </w:r>
    </w:p>
    <w:p w14:paraId="7B509A62">
      <w:pPr>
        <w:spacing w:line="360" w:lineRule="auto"/>
        <w:jc w:val="left"/>
        <w:rPr>
          <w:rFonts w:ascii="宋体" w:hAnsi="宋体" w:eastAsia="宋体" w:cs="宋体"/>
          <w:b/>
          <w:color w:val="000000"/>
        </w:rPr>
      </w:pPr>
      <w:r>
        <w:rPr>
          <w:rFonts w:hint="eastAsia" w:ascii="宋体" w:hAnsi="宋体" w:eastAsia="宋体" w:cs="宋体"/>
          <w:b/>
          <w:color w:val="000000"/>
        </w:rPr>
        <w:t xml:space="preserve">                                    廉洁合作协议书</w:t>
      </w:r>
    </w:p>
    <w:p w14:paraId="0EAD352B">
      <w:pPr>
        <w:spacing w:line="360" w:lineRule="auto"/>
        <w:rPr>
          <w:rFonts w:ascii="宋体" w:hAnsi="宋体" w:eastAsia="宋体" w:cs="宋体"/>
          <w:color w:val="000000"/>
        </w:rPr>
      </w:pPr>
    </w:p>
    <w:p w14:paraId="1CCA9D67">
      <w:pPr>
        <w:spacing w:line="360" w:lineRule="auto"/>
        <w:rPr>
          <w:rFonts w:ascii="宋体" w:hAnsi="宋体" w:eastAsia="宋体" w:cs="宋体"/>
          <w:b/>
          <w:bCs/>
          <w:color w:val="000000"/>
        </w:rPr>
      </w:pPr>
      <w:r>
        <w:rPr>
          <w:rFonts w:hint="eastAsia" w:ascii="宋体" w:hAnsi="宋体" w:eastAsia="宋体" w:cs="宋体"/>
          <w:b/>
          <w:bCs/>
          <w:color w:val="000000"/>
        </w:rPr>
        <w:t>甲方：</w:t>
      </w:r>
    </w:p>
    <w:p w14:paraId="2D6DE92D">
      <w:pPr>
        <w:spacing w:line="360" w:lineRule="auto"/>
        <w:rPr>
          <w:rFonts w:ascii="宋体" w:hAnsi="宋体" w:eastAsia="宋体" w:cs="宋体"/>
          <w:b/>
          <w:bCs/>
          <w:color w:val="000000"/>
        </w:rPr>
      </w:pPr>
    </w:p>
    <w:p w14:paraId="75420DFA">
      <w:pPr>
        <w:spacing w:line="360" w:lineRule="auto"/>
        <w:rPr>
          <w:rFonts w:ascii="宋体" w:hAnsi="宋体" w:eastAsia="宋体" w:cs="宋体"/>
          <w:color w:val="000000"/>
          <w:u w:val="single"/>
        </w:rPr>
      </w:pPr>
      <w:r>
        <w:rPr>
          <w:rFonts w:hint="eastAsia" w:ascii="宋体" w:hAnsi="宋体" w:eastAsia="宋体" w:cs="宋体"/>
          <w:b/>
          <w:bCs/>
          <w:color w:val="000000"/>
        </w:rPr>
        <w:t>乙方：</w:t>
      </w:r>
    </w:p>
    <w:p w14:paraId="6470C6C8">
      <w:pPr>
        <w:spacing w:line="360" w:lineRule="auto"/>
        <w:ind w:firstLine="480"/>
        <w:rPr>
          <w:rFonts w:ascii="宋体" w:hAnsi="宋体" w:eastAsia="宋体" w:cs="宋体"/>
          <w:color w:val="000000"/>
        </w:rPr>
      </w:pPr>
    </w:p>
    <w:p w14:paraId="05B04D71">
      <w:pPr>
        <w:spacing w:line="360" w:lineRule="auto"/>
        <w:ind w:firstLine="480" w:firstLineChars="200"/>
        <w:rPr>
          <w:rFonts w:ascii="宋体" w:hAnsi="宋体" w:eastAsia="宋体" w:cs="宋体"/>
          <w:color w:val="000000"/>
        </w:rPr>
      </w:pPr>
      <w:r>
        <w:rPr>
          <w:rFonts w:hint="eastAsia" w:ascii="宋体" w:hAnsi="宋体" w:eastAsia="宋体" w:cs="宋体"/>
          <w:color w:val="000000"/>
        </w:rPr>
        <w:t>甲乙双方已于【 】年【 】月【 】日签署了</w:t>
      </w:r>
      <w:r>
        <w:rPr>
          <w:rFonts w:hint="eastAsia" w:ascii="宋体" w:hAnsi="宋体" w:eastAsia="宋体" w:cs="宋体"/>
          <w:bCs/>
          <w:color w:val="000000"/>
        </w:rPr>
        <w:t>合同</w:t>
      </w:r>
      <w:r>
        <w:rPr>
          <w:rFonts w:hint="eastAsia" w:ascii="宋体" w:hAnsi="宋体" w:eastAsia="宋体" w:cs="宋体"/>
          <w:color w:val="000000"/>
        </w:rPr>
        <w:t>，为加强项目实施期间的廉洁合作，确保项目设计高效优质按期完成，甲乙双方经协商签定本协议并作为双方共同遵守的廉洁合作行为准则。</w:t>
      </w:r>
    </w:p>
    <w:p w14:paraId="6CA04535">
      <w:pPr>
        <w:numPr>
          <w:ilvl w:val="0"/>
          <w:numId w:val="4"/>
        </w:numPr>
        <w:tabs>
          <w:tab w:val="left" w:pos="282"/>
          <w:tab w:val="clear" w:pos="891"/>
        </w:tabs>
        <w:spacing w:line="360" w:lineRule="auto"/>
        <w:ind w:hanging="891"/>
        <w:rPr>
          <w:rFonts w:ascii="宋体" w:hAnsi="宋体" w:eastAsia="宋体" w:cs="宋体"/>
          <w:b/>
          <w:bCs/>
          <w:color w:val="000000"/>
        </w:rPr>
      </w:pPr>
      <w:r>
        <w:rPr>
          <w:rFonts w:hint="eastAsia" w:ascii="宋体" w:hAnsi="宋体" w:eastAsia="宋体" w:cs="宋体"/>
          <w:b/>
          <w:bCs/>
          <w:color w:val="000000"/>
        </w:rPr>
        <w:t>甲方责任：</w:t>
      </w:r>
    </w:p>
    <w:p w14:paraId="00276BD6">
      <w:pPr>
        <w:numPr>
          <w:ilvl w:val="1"/>
          <w:numId w:val="5"/>
        </w:numPr>
        <w:tabs>
          <w:tab w:val="left" w:pos="540"/>
          <w:tab w:val="clear" w:pos="845"/>
        </w:tabs>
        <w:spacing w:line="360" w:lineRule="auto"/>
        <w:ind w:left="0" w:firstLine="0"/>
        <w:rPr>
          <w:rFonts w:ascii="宋体" w:hAnsi="宋体" w:eastAsia="宋体" w:cs="宋体"/>
          <w:color w:val="000000"/>
        </w:rPr>
      </w:pPr>
      <w:r>
        <w:rPr>
          <w:rFonts w:hint="eastAsia" w:ascii="宋体" w:hAnsi="宋体" w:eastAsia="宋体" w:cs="宋体"/>
          <w:color w:val="000000"/>
        </w:rPr>
        <w:t>甲方有责任向乙方介绍本单位有关廉洁合作管理的各项制度和规定。</w:t>
      </w:r>
    </w:p>
    <w:p w14:paraId="5E27FCEA">
      <w:pPr>
        <w:numPr>
          <w:ilvl w:val="1"/>
          <w:numId w:val="5"/>
        </w:numPr>
        <w:tabs>
          <w:tab w:val="left" w:pos="540"/>
          <w:tab w:val="clear" w:pos="845"/>
        </w:tabs>
        <w:spacing w:line="360" w:lineRule="auto"/>
        <w:ind w:left="0" w:firstLine="0"/>
        <w:rPr>
          <w:rFonts w:ascii="宋体" w:hAnsi="宋体" w:eastAsia="宋体" w:cs="宋体"/>
          <w:color w:val="000000"/>
        </w:rPr>
      </w:pPr>
      <w:r>
        <w:rPr>
          <w:rFonts w:hint="eastAsia" w:ascii="宋体" w:hAnsi="宋体" w:eastAsia="宋体" w:cs="宋体"/>
          <w:color w:val="000000"/>
        </w:rPr>
        <w:t>甲方有责任对本单位项目管理人员进行廉洁合作教育。</w:t>
      </w:r>
    </w:p>
    <w:p w14:paraId="4D1DD9D2">
      <w:pPr>
        <w:numPr>
          <w:ilvl w:val="1"/>
          <w:numId w:val="5"/>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甲方人员应严格遵守本单位有关廉洁合作管理的规定，不得接受乙方的宴请，不得接受任何形式的实物、现金或礼券。</w:t>
      </w:r>
    </w:p>
    <w:p w14:paraId="0FA9BEEC">
      <w:pPr>
        <w:numPr>
          <w:ilvl w:val="1"/>
          <w:numId w:val="5"/>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甲方在工程项目建设期间发现甲方人员任何形式的索贿受贿行为，均应及时采取措施予以制止，并及时通报乙方。</w:t>
      </w:r>
    </w:p>
    <w:p w14:paraId="7F8CBAD6">
      <w:pPr>
        <w:numPr>
          <w:ilvl w:val="1"/>
          <w:numId w:val="5"/>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甲方人员如违反廉洁合作管理制度及本协议规定，甲方应视情节轻重、影响大小给予行政及经济处罚。</w:t>
      </w:r>
    </w:p>
    <w:p w14:paraId="5CE4BB54">
      <w:pPr>
        <w:numPr>
          <w:ilvl w:val="1"/>
          <w:numId w:val="5"/>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对于乙方举报甲方人员违反廉洁合作规定的情况，甲方应及时进行调查，根据调查情况进行处理。</w:t>
      </w:r>
    </w:p>
    <w:p w14:paraId="36EC3CDB">
      <w:pPr>
        <w:numPr>
          <w:ilvl w:val="0"/>
          <w:numId w:val="4"/>
        </w:numPr>
        <w:tabs>
          <w:tab w:val="left" w:pos="282"/>
          <w:tab w:val="clear" w:pos="891"/>
        </w:tabs>
        <w:spacing w:line="360" w:lineRule="auto"/>
        <w:ind w:hanging="891"/>
        <w:rPr>
          <w:rFonts w:ascii="宋体" w:hAnsi="宋体" w:eastAsia="宋体" w:cs="宋体"/>
          <w:b/>
          <w:bCs/>
          <w:color w:val="000000"/>
        </w:rPr>
      </w:pPr>
      <w:r>
        <w:rPr>
          <w:rFonts w:hint="eastAsia" w:ascii="宋体" w:hAnsi="宋体" w:eastAsia="宋体" w:cs="宋体"/>
          <w:b/>
          <w:bCs/>
          <w:color w:val="000000"/>
        </w:rPr>
        <w:t>乙方责任</w:t>
      </w:r>
    </w:p>
    <w:p w14:paraId="37358FD5">
      <w:pPr>
        <w:numPr>
          <w:ilvl w:val="1"/>
          <w:numId w:val="6"/>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乙方应保证乙方有关人员了解甲方单位有关廉洁合作管理的各项制度及本协议的规定，并遵照执行。</w:t>
      </w:r>
    </w:p>
    <w:p w14:paraId="16D66FFD">
      <w:pPr>
        <w:numPr>
          <w:ilvl w:val="1"/>
          <w:numId w:val="6"/>
        </w:numPr>
        <w:tabs>
          <w:tab w:val="left" w:pos="540"/>
          <w:tab w:val="clear" w:pos="845"/>
        </w:tabs>
        <w:spacing w:line="360" w:lineRule="auto"/>
        <w:ind w:left="0" w:firstLine="0"/>
        <w:rPr>
          <w:rFonts w:ascii="宋体" w:hAnsi="宋体" w:eastAsia="宋体" w:cs="宋体"/>
          <w:color w:val="000000"/>
        </w:rPr>
      </w:pPr>
      <w:r>
        <w:rPr>
          <w:rFonts w:hint="eastAsia" w:ascii="宋体" w:hAnsi="宋体" w:eastAsia="宋体" w:cs="宋体"/>
          <w:color w:val="000000"/>
        </w:rPr>
        <w:t>乙方不得宴请甲方人员，不得以任何形式赠送实物、现金或礼券。</w:t>
      </w:r>
    </w:p>
    <w:p w14:paraId="153F0EFE">
      <w:pPr>
        <w:numPr>
          <w:ilvl w:val="1"/>
          <w:numId w:val="6"/>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乙方单位在工程项目建设期间发现乙方人员有任何向甲方人员行贿的行为，均应及时采取措施予以制止，并及时通报甲方。</w:t>
      </w:r>
    </w:p>
    <w:p w14:paraId="0A9EC882">
      <w:pPr>
        <w:numPr>
          <w:ilvl w:val="1"/>
          <w:numId w:val="6"/>
        </w:numPr>
        <w:tabs>
          <w:tab w:val="left" w:pos="540"/>
          <w:tab w:val="clear" w:pos="845"/>
        </w:tabs>
        <w:spacing w:line="360" w:lineRule="auto"/>
        <w:ind w:left="0" w:firstLine="0"/>
        <w:rPr>
          <w:rFonts w:ascii="宋体" w:hAnsi="宋体" w:eastAsia="宋体" w:cs="宋体"/>
          <w:color w:val="000000"/>
        </w:rPr>
      </w:pPr>
      <w:r>
        <w:rPr>
          <w:rFonts w:hint="eastAsia" w:ascii="宋体" w:hAnsi="宋体" w:eastAsia="宋体" w:cs="宋体"/>
          <w:color w:val="000000"/>
        </w:rPr>
        <w:t>乙方有责任接受甲方对乙方在工程项目建设期间廉洁合作管理执行情况的监督。</w:t>
      </w:r>
    </w:p>
    <w:p w14:paraId="64186B30">
      <w:pPr>
        <w:numPr>
          <w:ilvl w:val="1"/>
          <w:numId w:val="6"/>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乙方单位人员有义务就甲方人员任何形式的索贿或受贿行为及时向甲方举报；如乙方向甲方人员行贿，或甲方人员向乙方索贿，乙方满足其要求且并未向甲方举报的，一经查实，除追回由此给甲方造成的损失外，乙方承诺在总价的基础上再让利10%，并对本方知情不报人员进行相应处罚。</w:t>
      </w:r>
    </w:p>
    <w:p w14:paraId="194EA7AC">
      <w:pPr>
        <w:numPr>
          <w:ilvl w:val="1"/>
          <w:numId w:val="6"/>
        </w:numPr>
        <w:tabs>
          <w:tab w:val="left" w:pos="540"/>
          <w:tab w:val="clear" w:pos="845"/>
        </w:tabs>
        <w:spacing w:line="360" w:lineRule="auto"/>
        <w:ind w:left="540" w:hanging="540" w:hangingChars="225"/>
        <w:rPr>
          <w:rFonts w:ascii="宋体" w:hAnsi="宋体" w:eastAsia="宋体" w:cs="宋体"/>
          <w:color w:val="000000"/>
        </w:rPr>
      </w:pPr>
      <w:r>
        <w:rPr>
          <w:rFonts w:hint="eastAsia" w:ascii="宋体" w:hAnsi="宋体" w:eastAsia="宋体" w:cs="宋体"/>
          <w:color w:val="000000"/>
        </w:rPr>
        <w:t>如因乙方单位及人员在工程项目建设期间贿赂甲方人员，被司法机关立案查处的，甲方有权取消或终止与乙方签订合同的履行，由此给甲方造成的损失由乙方负责赔偿。</w:t>
      </w:r>
    </w:p>
    <w:p w14:paraId="509170FB">
      <w:pPr>
        <w:spacing w:line="360" w:lineRule="auto"/>
        <w:rPr>
          <w:rFonts w:ascii="宋体" w:hAnsi="宋体" w:eastAsia="宋体" w:cs="宋体"/>
          <w:color w:val="000000"/>
        </w:rPr>
      </w:pPr>
    </w:p>
    <w:p w14:paraId="0FE94D17">
      <w:pPr>
        <w:spacing w:line="360" w:lineRule="auto"/>
        <w:rPr>
          <w:rFonts w:ascii="宋体" w:hAnsi="宋体" w:eastAsia="宋体" w:cs="宋体"/>
          <w:color w:val="000000"/>
        </w:rPr>
      </w:pPr>
    </w:p>
    <w:tbl>
      <w:tblPr>
        <w:tblStyle w:val="49"/>
        <w:tblpPr w:leftFromText="180" w:rightFromText="180" w:vertAnchor="text" w:horzAnchor="margin" w:tblpX="108"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932"/>
      </w:tblGrid>
      <w:tr w14:paraId="5273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788" w:type="dxa"/>
            <w:tcBorders>
              <w:top w:val="nil"/>
              <w:left w:val="nil"/>
              <w:bottom w:val="nil"/>
              <w:right w:val="nil"/>
            </w:tcBorders>
          </w:tcPr>
          <w:p w14:paraId="1C698B04">
            <w:pPr>
              <w:spacing w:line="360" w:lineRule="auto"/>
              <w:rPr>
                <w:rFonts w:ascii="宋体" w:hAnsi="宋体" w:eastAsia="宋体" w:cs="宋体"/>
                <w:b/>
                <w:bCs/>
                <w:color w:val="000000"/>
              </w:rPr>
            </w:pPr>
            <w:r>
              <w:rPr>
                <w:rFonts w:hint="eastAsia" w:ascii="宋体" w:hAnsi="宋体" w:eastAsia="宋体" w:cs="宋体"/>
                <w:b/>
                <w:bCs/>
                <w:color w:val="000000"/>
              </w:rPr>
              <w:t>甲方：</w:t>
            </w:r>
          </w:p>
        </w:tc>
        <w:tc>
          <w:tcPr>
            <w:tcW w:w="4932" w:type="dxa"/>
            <w:tcBorders>
              <w:top w:val="nil"/>
              <w:left w:val="nil"/>
              <w:bottom w:val="nil"/>
              <w:right w:val="nil"/>
            </w:tcBorders>
          </w:tcPr>
          <w:p w14:paraId="36B79742">
            <w:pPr>
              <w:spacing w:line="360" w:lineRule="auto"/>
              <w:rPr>
                <w:rFonts w:ascii="宋体" w:hAnsi="宋体" w:eastAsia="宋体" w:cs="宋体"/>
                <w:b/>
                <w:bCs/>
                <w:color w:val="000000"/>
              </w:rPr>
            </w:pPr>
            <w:r>
              <w:rPr>
                <w:rFonts w:hint="eastAsia" w:ascii="宋体" w:hAnsi="宋体" w:eastAsia="宋体" w:cs="宋体"/>
                <w:b/>
                <w:bCs/>
                <w:color w:val="000000"/>
              </w:rPr>
              <w:t xml:space="preserve">乙方：_____________________ </w:t>
            </w:r>
          </w:p>
        </w:tc>
      </w:tr>
      <w:tr w14:paraId="4B1B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14:paraId="56ED6DF0">
            <w:pPr>
              <w:spacing w:line="360" w:lineRule="auto"/>
              <w:rPr>
                <w:rFonts w:ascii="宋体" w:hAnsi="宋体" w:eastAsia="宋体" w:cs="宋体"/>
                <w:b/>
                <w:bCs/>
                <w:color w:val="000000"/>
              </w:rPr>
            </w:pPr>
          </w:p>
          <w:p w14:paraId="7C2EC631">
            <w:pPr>
              <w:spacing w:line="360" w:lineRule="auto"/>
              <w:rPr>
                <w:rFonts w:ascii="宋体" w:hAnsi="宋体" w:eastAsia="宋体" w:cs="宋体"/>
                <w:b/>
                <w:bCs/>
                <w:color w:val="000000"/>
              </w:rPr>
            </w:pPr>
            <w:r>
              <w:rPr>
                <w:rFonts w:hint="eastAsia" w:ascii="宋体" w:hAnsi="宋体" w:eastAsia="宋体" w:cs="宋体"/>
                <w:b/>
                <w:bCs/>
                <w:color w:val="000000"/>
              </w:rPr>
              <w:t>法定代表人或其授权代表：</w:t>
            </w:r>
          </w:p>
        </w:tc>
        <w:tc>
          <w:tcPr>
            <w:tcW w:w="4932" w:type="dxa"/>
            <w:tcBorders>
              <w:top w:val="nil"/>
              <w:left w:val="nil"/>
              <w:bottom w:val="nil"/>
              <w:right w:val="nil"/>
            </w:tcBorders>
          </w:tcPr>
          <w:p w14:paraId="401352B1">
            <w:pPr>
              <w:spacing w:line="360" w:lineRule="auto"/>
              <w:rPr>
                <w:rFonts w:ascii="宋体" w:hAnsi="宋体" w:eastAsia="宋体" w:cs="宋体"/>
                <w:b/>
                <w:bCs/>
                <w:color w:val="000000"/>
              </w:rPr>
            </w:pPr>
          </w:p>
          <w:p w14:paraId="1705B76E">
            <w:pPr>
              <w:spacing w:line="360" w:lineRule="auto"/>
              <w:rPr>
                <w:rFonts w:ascii="宋体" w:hAnsi="宋体" w:eastAsia="宋体" w:cs="宋体"/>
                <w:b/>
                <w:bCs/>
                <w:color w:val="000000"/>
              </w:rPr>
            </w:pPr>
            <w:r>
              <w:rPr>
                <w:rFonts w:hint="eastAsia" w:ascii="宋体" w:hAnsi="宋体" w:eastAsia="宋体" w:cs="宋体"/>
                <w:b/>
                <w:bCs/>
                <w:color w:val="000000"/>
              </w:rPr>
              <w:t>法定代表人或其授权代表：</w:t>
            </w:r>
          </w:p>
        </w:tc>
      </w:tr>
      <w:tr w14:paraId="3A92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14:paraId="50ABA4E3">
            <w:pPr>
              <w:spacing w:line="360" w:lineRule="auto"/>
              <w:rPr>
                <w:rFonts w:ascii="宋体" w:hAnsi="宋体" w:eastAsia="宋体" w:cs="宋体"/>
                <w:b/>
                <w:bCs/>
                <w:color w:val="000000"/>
              </w:rPr>
            </w:pPr>
          </w:p>
          <w:p w14:paraId="74E53550">
            <w:pPr>
              <w:spacing w:line="360" w:lineRule="auto"/>
              <w:rPr>
                <w:rFonts w:ascii="宋体" w:hAnsi="宋体" w:eastAsia="宋体" w:cs="宋体"/>
                <w:b/>
                <w:bCs/>
                <w:color w:val="000000"/>
              </w:rPr>
            </w:pPr>
            <w:r>
              <w:rPr>
                <w:rFonts w:hint="eastAsia" w:ascii="宋体" w:hAnsi="宋体" w:eastAsia="宋体" w:cs="宋体"/>
                <w:b/>
                <w:bCs/>
                <w:color w:val="000000"/>
              </w:rPr>
              <w:t>日期：_____________________</w:t>
            </w:r>
          </w:p>
        </w:tc>
        <w:tc>
          <w:tcPr>
            <w:tcW w:w="4932" w:type="dxa"/>
            <w:tcBorders>
              <w:top w:val="nil"/>
              <w:left w:val="nil"/>
              <w:bottom w:val="nil"/>
              <w:right w:val="nil"/>
            </w:tcBorders>
          </w:tcPr>
          <w:p w14:paraId="4DC1E902">
            <w:pPr>
              <w:spacing w:line="360" w:lineRule="auto"/>
              <w:rPr>
                <w:rFonts w:ascii="宋体" w:hAnsi="宋体" w:eastAsia="宋体" w:cs="宋体"/>
                <w:b/>
                <w:bCs/>
                <w:color w:val="000000"/>
              </w:rPr>
            </w:pPr>
          </w:p>
          <w:p w14:paraId="7F615877">
            <w:pPr>
              <w:spacing w:line="360" w:lineRule="auto"/>
              <w:rPr>
                <w:rFonts w:ascii="宋体" w:hAnsi="宋体" w:eastAsia="宋体" w:cs="宋体"/>
                <w:b/>
                <w:bCs/>
                <w:color w:val="000000"/>
              </w:rPr>
            </w:pPr>
            <w:r>
              <w:rPr>
                <w:rFonts w:hint="eastAsia" w:ascii="宋体" w:hAnsi="宋体" w:eastAsia="宋体" w:cs="宋体"/>
                <w:b/>
                <w:bCs/>
                <w:color w:val="000000"/>
              </w:rPr>
              <w:t>日期：_____________________</w:t>
            </w:r>
          </w:p>
        </w:tc>
      </w:tr>
      <w:tr w14:paraId="0E8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14:paraId="10EBF795">
            <w:pPr>
              <w:spacing w:line="360" w:lineRule="auto"/>
              <w:rPr>
                <w:rFonts w:ascii="宋体" w:hAnsi="宋体" w:eastAsia="宋体" w:cs="宋体"/>
                <w:b/>
                <w:bCs/>
                <w:color w:val="000000"/>
              </w:rPr>
            </w:pPr>
          </w:p>
        </w:tc>
        <w:tc>
          <w:tcPr>
            <w:tcW w:w="4932" w:type="dxa"/>
            <w:tcBorders>
              <w:top w:val="nil"/>
              <w:left w:val="nil"/>
              <w:bottom w:val="nil"/>
              <w:right w:val="nil"/>
            </w:tcBorders>
          </w:tcPr>
          <w:p w14:paraId="402D851F">
            <w:pPr>
              <w:spacing w:line="360" w:lineRule="auto"/>
              <w:rPr>
                <w:rFonts w:ascii="宋体" w:hAnsi="宋体" w:eastAsia="宋体" w:cs="宋体"/>
                <w:b/>
                <w:bCs/>
                <w:color w:val="000000"/>
              </w:rPr>
            </w:pPr>
          </w:p>
        </w:tc>
      </w:tr>
      <w:tr w14:paraId="7E1A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14:paraId="0ADB2D4C">
            <w:pPr>
              <w:spacing w:line="360" w:lineRule="auto"/>
              <w:rPr>
                <w:rFonts w:ascii="宋体" w:hAnsi="宋体" w:eastAsia="宋体" w:cs="宋体"/>
                <w:b/>
                <w:bCs/>
                <w:color w:val="000000"/>
              </w:rPr>
            </w:pPr>
          </w:p>
        </w:tc>
        <w:tc>
          <w:tcPr>
            <w:tcW w:w="4932" w:type="dxa"/>
            <w:tcBorders>
              <w:top w:val="nil"/>
              <w:left w:val="nil"/>
              <w:bottom w:val="nil"/>
              <w:right w:val="nil"/>
            </w:tcBorders>
          </w:tcPr>
          <w:p w14:paraId="25670837">
            <w:pPr>
              <w:spacing w:line="360" w:lineRule="auto"/>
              <w:rPr>
                <w:rFonts w:ascii="宋体" w:hAnsi="宋体" w:eastAsia="宋体" w:cs="宋体"/>
                <w:b/>
                <w:bCs/>
                <w:color w:val="000000"/>
              </w:rPr>
            </w:pPr>
          </w:p>
        </w:tc>
      </w:tr>
      <w:tr w14:paraId="572C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14:paraId="67A66FF9">
            <w:pPr>
              <w:spacing w:line="360" w:lineRule="auto"/>
              <w:rPr>
                <w:rFonts w:ascii="宋体" w:hAnsi="宋体" w:eastAsia="宋体" w:cs="宋体"/>
                <w:b/>
                <w:bCs/>
                <w:color w:val="000000"/>
              </w:rPr>
            </w:pPr>
          </w:p>
        </w:tc>
        <w:tc>
          <w:tcPr>
            <w:tcW w:w="4932" w:type="dxa"/>
            <w:tcBorders>
              <w:top w:val="nil"/>
              <w:left w:val="nil"/>
              <w:bottom w:val="nil"/>
              <w:right w:val="nil"/>
            </w:tcBorders>
          </w:tcPr>
          <w:p w14:paraId="600992A2">
            <w:pPr>
              <w:spacing w:line="360" w:lineRule="auto"/>
              <w:rPr>
                <w:rFonts w:ascii="宋体" w:hAnsi="宋体" w:eastAsia="宋体" w:cs="宋体"/>
                <w:b/>
                <w:bCs/>
                <w:color w:val="000000"/>
              </w:rPr>
            </w:pPr>
          </w:p>
          <w:p w14:paraId="4CA2A48A">
            <w:pPr>
              <w:pStyle w:val="2"/>
              <w:ind w:left="480" w:firstLine="480"/>
              <w:rPr>
                <w:rFonts w:ascii="宋体" w:hAnsi="宋体" w:cs="宋体"/>
              </w:rPr>
            </w:pPr>
          </w:p>
          <w:p w14:paraId="21A816F1">
            <w:pPr>
              <w:pStyle w:val="2"/>
              <w:ind w:left="480" w:firstLine="480"/>
              <w:rPr>
                <w:rFonts w:ascii="宋体" w:hAnsi="宋体" w:cs="宋体"/>
              </w:rPr>
            </w:pPr>
          </w:p>
          <w:p w14:paraId="0138306E">
            <w:pPr>
              <w:pStyle w:val="2"/>
              <w:ind w:left="480" w:firstLine="480"/>
              <w:rPr>
                <w:rFonts w:ascii="宋体" w:hAnsi="宋体" w:cs="宋体"/>
              </w:rPr>
            </w:pPr>
          </w:p>
          <w:p w14:paraId="27394993">
            <w:pPr>
              <w:pStyle w:val="2"/>
              <w:ind w:left="480" w:firstLine="480"/>
              <w:rPr>
                <w:rFonts w:ascii="宋体" w:hAnsi="宋体" w:cs="宋体"/>
              </w:rPr>
            </w:pPr>
          </w:p>
          <w:p w14:paraId="73BD3069">
            <w:pPr>
              <w:pStyle w:val="2"/>
              <w:ind w:left="0" w:leftChars="0" w:firstLine="0" w:firstLineChars="0"/>
              <w:rPr>
                <w:rFonts w:ascii="宋体" w:hAnsi="宋体" w:cs="宋体"/>
              </w:rPr>
            </w:pPr>
          </w:p>
          <w:p w14:paraId="6FBA48FE">
            <w:pPr>
              <w:pStyle w:val="2"/>
              <w:ind w:left="480" w:firstLine="480"/>
              <w:rPr>
                <w:rFonts w:ascii="宋体" w:hAnsi="宋体" w:cs="宋体"/>
              </w:rPr>
            </w:pPr>
          </w:p>
          <w:p w14:paraId="624E7B2D">
            <w:pPr>
              <w:pStyle w:val="2"/>
              <w:ind w:left="480" w:firstLine="480"/>
              <w:rPr>
                <w:rFonts w:ascii="宋体" w:hAnsi="宋体" w:cs="宋体"/>
              </w:rPr>
            </w:pPr>
          </w:p>
          <w:p w14:paraId="0497D3C4">
            <w:pPr>
              <w:pStyle w:val="2"/>
              <w:ind w:left="480" w:firstLine="480"/>
              <w:rPr>
                <w:rFonts w:ascii="宋体" w:hAnsi="宋体" w:cs="宋体"/>
              </w:rPr>
            </w:pPr>
          </w:p>
          <w:p w14:paraId="1A9B7AB3">
            <w:pPr>
              <w:pStyle w:val="2"/>
              <w:ind w:left="480" w:firstLine="480"/>
              <w:rPr>
                <w:rFonts w:ascii="宋体" w:hAnsi="宋体" w:cs="宋体"/>
              </w:rPr>
            </w:pPr>
          </w:p>
        </w:tc>
      </w:tr>
    </w:tbl>
    <w:p w14:paraId="7FDDCD59">
      <w:pPr>
        <w:pStyle w:val="2"/>
        <w:ind w:left="480" w:firstLine="480"/>
        <w:rPr>
          <w:rFonts w:ascii="宋体" w:hAnsi="宋体" w:cs="宋体"/>
        </w:rPr>
      </w:pPr>
    </w:p>
    <w:p w14:paraId="47B3A991">
      <w:pPr>
        <w:pStyle w:val="24"/>
        <w:tabs>
          <w:tab w:val="left" w:pos="1050"/>
          <w:tab w:val="right" w:leader="dot" w:pos="9402"/>
        </w:tabs>
        <w:spacing w:line="520" w:lineRule="exact"/>
        <w:ind w:left="0"/>
        <w:jc w:val="center"/>
        <w:outlineLvl w:val="0"/>
        <w:rPr>
          <w:rFonts w:ascii="宋体" w:hAnsi="宋体" w:cs="宋体"/>
          <w:b/>
          <w:bCs/>
          <w:color w:val="000000" w:themeColor="text1"/>
          <w:w w:val="80"/>
          <w:sz w:val="44"/>
          <w:szCs w:val="44"/>
          <w14:textFill>
            <w14:solidFill>
              <w14:schemeClr w14:val="tx1"/>
            </w14:solidFill>
          </w14:textFill>
        </w:rPr>
      </w:pPr>
    </w:p>
    <w:p w14:paraId="611380E5">
      <w:pPr>
        <w:tabs>
          <w:tab w:val="left" w:pos="1050"/>
          <w:tab w:val="right" w:leader="dot" w:pos="9402"/>
        </w:tabs>
        <w:spacing w:beforeLines="100" w:line="600" w:lineRule="exact"/>
        <w:ind w:firstLine="3473" w:firstLineChars="1200"/>
        <w:outlineLvl w:val="0"/>
        <w:rPr>
          <w:rFonts w:ascii="宋体" w:hAnsi="宋体" w:eastAsia="宋体" w:cs="宋体"/>
          <w:b/>
          <w:bCs/>
          <w:w w:val="80"/>
          <w:sz w:val="36"/>
          <w:szCs w:val="36"/>
        </w:rPr>
      </w:pPr>
      <w:r>
        <w:rPr>
          <w:rFonts w:hint="eastAsia" w:ascii="宋体" w:hAnsi="宋体" w:eastAsia="宋体" w:cs="宋体"/>
          <w:b/>
          <w:bCs/>
          <w:w w:val="80"/>
          <w:sz w:val="36"/>
          <w:szCs w:val="36"/>
        </w:rPr>
        <w:t>第六章  质疑与投诉</w:t>
      </w:r>
      <w:bookmarkEnd w:id="15"/>
    </w:p>
    <w:p w14:paraId="40DADF1B">
      <w:pPr>
        <w:snapToGrid w:val="0"/>
        <w:spacing w:line="360" w:lineRule="auto"/>
        <w:ind w:firstLine="487" w:firstLineChars="202"/>
        <w:outlineLvl w:val="1"/>
        <w:rPr>
          <w:rFonts w:ascii="宋体" w:hAnsi="宋体" w:eastAsia="宋体" w:cs="宋体"/>
          <w:b/>
          <w:bCs/>
        </w:rPr>
      </w:pPr>
      <w:bookmarkStart w:id="16" w:name="_Hlk67488297"/>
      <w:r>
        <w:rPr>
          <w:rFonts w:hint="eastAsia" w:ascii="宋体" w:hAnsi="宋体" w:eastAsia="宋体" w:cs="宋体"/>
          <w:b/>
          <w:bCs/>
        </w:rPr>
        <w:t>一、质疑的提出</w:t>
      </w:r>
    </w:p>
    <w:p w14:paraId="48C66038">
      <w:pPr>
        <w:snapToGrid w:val="0"/>
        <w:spacing w:line="360" w:lineRule="auto"/>
        <w:ind w:firstLine="484" w:firstLineChars="202"/>
        <w:rPr>
          <w:rFonts w:ascii="宋体" w:hAnsi="宋体" w:eastAsia="宋体" w:cs="宋体"/>
        </w:rPr>
      </w:pPr>
      <w:r>
        <w:rPr>
          <w:rFonts w:hint="eastAsia" w:ascii="宋体" w:hAnsi="宋体" w:eastAsia="宋体" w:cs="宋体"/>
        </w:rPr>
        <w:t>1.质疑人必须是直接参加本次竞争性谈判活动的当事人。</w:t>
      </w:r>
    </w:p>
    <w:p w14:paraId="72DB7CFA">
      <w:pPr>
        <w:snapToGrid w:val="0"/>
        <w:spacing w:line="360" w:lineRule="auto"/>
        <w:ind w:firstLine="484" w:firstLineChars="202"/>
        <w:rPr>
          <w:rFonts w:ascii="宋体" w:hAnsi="宋体" w:eastAsia="宋体" w:cs="宋体"/>
        </w:rPr>
      </w:pPr>
      <w:r>
        <w:rPr>
          <w:rFonts w:hint="eastAsia" w:ascii="宋体" w:hAnsi="宋体" w:eastAsia="宋体" w:cs="宋体"/>
        </w:rPr>
        <w:t>2.下载竞争性谈判文件的供应商应根据第二章“供应商须知”中第一条第4点的约定提出；响应文件接收截止后，供应商未进行竞争性谈判登记的，不能就响应文件接收截止后的竞争性谈判过程、成交结果提出质疑；在竞争性谈判过程中，凡主持人或竞争性谈判小组明确提出须由供应商确认的事项，供应商当场无异议的，事后不得提出质疑。</w:t>
      </w:r>
    </w:p>
    <w:p w14:paraId="60A92818">
      <w:pPr>
        <w:snapToGrid w:val="0"/>
        <w:spacing w:line="360" w:lineRule="auto"/>
        <w:ind w:firstLine="484" w:firstLineChars="202"/>
        <w:rPr>
          <w:rFonts w:ascii="宋体" w:hAnsi="宋体" w:eastAsia="宋体" w:cs="宋体"/>
        </w:rPr>
      </w:pPr>
      <w:r>
        <w:rPr>
          <w:rFonts w:hint="eastAsia" w:ascii="宋体" w:hAnsi="宋体" w:eastAsia="宋体" w:cs="宋体"/>
        </w:rPr>
        <w:t>3.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14:paraId="2BAE949F">
      <w:pPr>
        <w:snapToGrid w:val="0"/>
        <w:spacing w:line="360" w:lineRule="auto"/>
        <w:ind w:firstLine="484" w:firstLineChars="202"/>
        <w:rPr>
          <w:rFonts w:ascii="宋体" w:hAnsi="宋体" w:eastAsia="宋体" w:cs="宋体"/>
        </w:rPr>
      </w:pPr>
      <w:r>
        <w:rPr>
          <w:rFonts w:hint="eastAsia" w:ascii="宋体" w:hAnsi="宋体" w:eastAsia="宋体" w:cs="宋体"/>
        </w:rPr>
        <w:t>4.对本次竞争性谈判活动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D54F42D">
      <w:pPr>
        <w:snapToGrid w:val="0"/>
        <w:spacing w:line="360" w:lineRule="auto"/>
        <w:ind w:firstLine="484" w:firstLineChars="202"/>
        <w:rPr>
          <w:rFonts w:ascii="宋体" w:hAnsi="宋体" w:eastAsia="宋体" w:cs="宋体"/>
        </w:rPr>
      </w:pPr>
      <w:r>
        <w:rPr>
          <w:rFonts w:hint="eastAsia" w:ascii="宋体" w:hAnsi="宋体" w:eastAsia="宋体" w:cs="宋体"/>
        </w:rPr>
        <w:t>对不能提供相关佐证材料的、涉及商业秘密的、非书面形式的、非送达的、匿名的《质疑函》将不予受理。</w:t>
      </w:r>
    </w:p>
    <w:p w14:paraId="373C466E">
      <w:pPr>
        <w:snapToGrid w:val="0"/>
        <w:spacing w:line="360" w:lineRule="auto"/>
        <w:ind w:firstLine="484" w:firstLineChars="202"/>
        <w:rPr>
          <w:rFonts w:ascii="宋体" w:hAnsi="宋体" w:eastAsia="宋体" w:cs="宋体"/>
        </w:rPr>
      </w:pPr>
      <w:r>
        <w:rPr>
          <w:rFonts w:hint="eastAsia" w:ascii="宋体" w:hAnsi="宋体" w:eastAsia="宋体" w:cs="宋体"/>
        </w:rPr>
        <w:t>相关佐证材料要具备客观性、关联性、合法性，无法查实的（如宣传册、媒体报道、猜测、推理等）不能作为佐证材料。</w:t>
      </w:r>
    </w:p>
    <w:p w14:paraId="4887D99B">
      <w:pPr>
        <w:snapToGrid w:val="0"/>
        <w:spacing w:line="360" w:lineRule="auto"/>
        <w:ind w:firstLine="484" w:firstLineChars="202"/>
        <w:rPr>
          <w:rFonts w:ascii="宋体" w:hAnsi="宋体" w:eastAsia="宋体" w:cs="宋体"/>
        </w:rPr>
      </w:pPr>
      <w:r>
        <w:rPr>
          <w:rFonts w:hint="eastAsia" w:ascii="宋体" w:hAnsi="宋体" w:eastAsia="宋体" w:cs="宋体"/>
        </w:rPr>
        <w:t>采购单位不负责搜集相关佐证材料等工作。</w:t>
      </w:r>
    </w:p>
    <w:p w14:paraId="53DFDA23">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rPr>
        <w:t>二、《质疑函》的受理和回复</w:t>
      </w:r>
    </w:p>
    <w:p w14:paraId="6E4191B4">
      <w:pPr>
        <w:snapToGrid w:val="0"/>
        <w:spacing w:line="360" w:lineRule="auto"/>
        <w:ind w:firstLine="484" w:firstLineChars="202"/>
        <w:rPr>
          <w:rFonts w:ascii="宋体" w:hAnsi="宋体" w:eastAsia="宋体" w:cs="宋体"/>
        </w:rPr>
      </w:pPr>
      <w:r>
        <w:rPr>
          <w:rFonts w:hint="eastAsia" w:ascii="宋体" w:hAnsi="宋体" w:eastAsia="宋体" w:cs="宋体"/>
        </w:rPr>
        <w:t>1.《质疑函》须由质疑人的法定代表人或参加本次竞争性谈判授权人书面送达采购单位。</w:t>
      </w:r>
    </w:p>
    <w:p w14:paraId="08C70E73">
      <w:pPr>
        <w:snapToGrid w:val="0"/>
        <w:spacing w:line="360" w:lineRule="auto"/>
        <w:ind w:firstLine="484" w:firstLineChars="202"/>
        <w:rPr>
          <w:rFonts w:ascii="宋体" w:hAnsi="宋体" w:eastAsia="宋体" w:cs="宋体"/>
        </w:rPr>
      </w:pPr>
      <w:r>
        <w:rPr>
          <w:rFonts w:hint="eastAsia" w:ascii="宋体" w:hAnsi="宋体" w:eastAsia="宋体" w:cs="宋体"/>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14:paraId="0B8F3E8B">
      <w:pPr>
        <w:snapToGrid w:val="0"/>
        <w:spacing w:line="360" w:lineRule="auto"/>
        <w:ind w:firstLine="484" w:firstLineChars="202"/>
        <w:rPr>
          <w:rFonts w:ascii="宋体" w:hAnsi="宋体" w:eastAsia="宋体" w:cs="宋体"/>
        </w:rPr>
      </w:pPr>
      <w:r>
        <w:rPr>
          <w:rFonts w:hint="eastAsia" w:ascii="宋体" w:hAnsi="宋体" w:eastAsia="宋体" w:cs="宋体"/>
        </w:rPr>
        <w:t>3.对不符合提出质疑要求的，出具《质疑退回通知书》并提出相关补充材料要求，质疑人未在规定的时间内提供补充佐证材料的，视同放弃质疑。</w:t>
      </w:r>
    </w:p>
    <w:p w14:paraId="396A03BF">
      <w:pPr>
        <w:snapToGrid w:val="0"/>
        <w:spacing w:line="360" w:lineRule="auto"/>
        <w:ind w:firstLine="484" w:firstLineChars="202"/>
        <w:rPr>
          <w:rFonts w:ascii="宋体" w:hAnsi="宋体" w:eastAsia="宋体" w:cs="宋体"/>
        </w:rPr>
      </w:pPr>
      <w:r>
        <w:rPr>
          <w:rFonts w:hint="eastAsia" w:ascii="宋体" w:hAnsi="宋体" w:eastAsia="宋体" w:cs="宋体"/>
        </w:rPr>
        <w:t>4.采购单位负责将质疑人提出的质疑相关材料提供给相关专家或竞争性谈判小组审核，并将审核意见回复质疑人。</w:t>
      </w:r>
    </w:p>
    <w:p w14:paraId="12155BEE">
      <w:pPr>
        <w:snapToGrid w:val="0"/>
        <w:spacing w:line="360" w:lineRule="auto"/>
        <w:ind w:firstLine="484" w:firstLineChars="202"/>
        <w:rPr>
          <w:rFonts w:ascii="宋体" w:hAnsi="宋体" w:eastAsia="宋体" w:cs="宋体"/>
        </w:rPr>
      </w:pPr>
      <w:r>
        <w:rPr>
          <w:rFonts w:hint="eastAsia" w:ascii="宋体" w:hAnsi="宋体" w:eastAsia="宋体" w:cs="宋体"/>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C69045C">
      <w:pPr>
        <w:snapToGrid w:val="0"/>
        <w:spacing w:line="360" w:lineRule="auto"/>
        <w:ind w:firstLine="484" w:firstLineChars="202"/>
        <w:rPr>
          <w:rFonts w:ascii="宋体" w:hAnsi="宋体" w:eastAsia="宋体" w:cs="宋体"/>
        </w:rPr>
      </w:pPr>
      <w:r>
        <w:rPr>
          <w:rFonts w:hint="eastAsia" w:ascii="宋体" w:hAnsi="宋体" w:eastAsia="宋体" w:cs="宋体"/>
        </w:rPr>
        <w:t>5.因质疑情况复杂，组织论证或审查时间较长的，采购单位以书面形式通知质疑人，可适当延长质疑回复处理时间。</w:t>
      </w:r>
    </w:p>
    <w:p w14:paraId="1FAE9AEC">
      <w:pPr>
        <w:snapToGrid w:val="0"/>
        <w:spacing w:line="360" w:lineRule="auto"/>
        <w:ind w:firstLine="484" w:firstLineChars="202"/>
        <w:rPr>
          <w:rFonts w:ascii="宋体" w:hAnsi="宋体" w:eastAsia="宋体" w:cs="宋体"/>
        </w:rPr>
      </w:pPr>
      <w:r>
        <w:rPr>
          <w:rFonts w:hint="eastAsia" w:ascii="宋体" w:hAnsi="宋体" w:eastAsia="宋体" w:cs="宋体"/>
        </w:rPr>
        <w:t>6.采购单位可以采用电子邮件的形式发出涉及质疑的回复、通知等。</w:t>
      </w:r>
    </w:p>
    <w:p w14:paraId="71B932CE">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rPr>
        <w:t>三、质疑处理</w:t>
      </w:r>
    </w:p>
    <w:p w14:paraId="1A5066FD">
      <w:pPr>
        <w:snapToGrid w:val="0"/>
        <w:spacing w:line="360" w:lineRule="auto"/>
        <w:ind w:firstLine="484" w:firstLineChars="202"/>
        <w:rPr>
          <w:rFonts w:ascii="宋体" w:hAnsi="宋体" w:eastAsia="宋体" w:cs="宋体"/>
        </w:rPr>
      </w:pPr>
      <w:r>
        <w:rPr>
          <w:rFonts w:hint="eastAsia" w:ascii="宋体" w:hAnsi="宋体" w:eastAsia="宋体" w:cs="宋体"/>
        </w:rPr>
        <w:t>1.质疑成立的处理。采购单位终止采购，并建议有关部门给相关当事人予以处理。</w:t>
      </w:r>
    </w:p>
    <w:p w14:paraId="1B9772DB">
      <w:pPr>
        <w:snapToGrid w:val="0"/>
        <w:spacing w:line="360" w:lineRule="auto"/>
        <w:ind w:firstLine="484" w:firstLineChars="202"/>
        <w:rPr>
          <w:rFonts w:ascii="宋体" w:hAnsi="宋体" w:eastAsia="宋体" w:cs="宋体"/>
        </w:rPr>
      </w:pPr>
      <w:r>
        <w:rPr>
          <w:rFonts w:hint="eastAsia" w:ascii="宋体" w:hAnsi="宋体" w:eastAsia="宋体" w:cs="宋体"/>
        </w:rPr>
        <w:t>2.质疑不成立的处理。</w:t>
      </w:r>
    </w:p>
    <w:p w14:paraId="6AD2013A">
      <w:pPr>
        <w:snapToGrid w:val="0"/>
        <w:spacing w:line="360" w:lineRule="auto"/>
        <w:ind w:firstLine="484" w:firstLineChars="202"/>
        <w:rPr>
          <w:rFonts w:ascii="宋体" w:hAnsi="宋体" w:eastAsia="宋体" w:cs="宋体"/>
        </w:rPr>
      </w:pPr>
      <w:r>
        <w:rPr>
          <w:rFonts w:hint="eastAsia" w:ascii="宋体" w:hAnsi="宋体" w:eastAsia="宋体" w:cs="宋体"/>
        </w:rPr>
        <w:t>（1）质疑人书面《申请撤回质疑函》的，不作违约处理。</w:t>
      </w:r>
    </w:p>
    <w:p w14:paraId="1E4A90F3">
      <w:pPr>
        <w:snapToGrid w:val="0"/>
        <w:spacing w:line="360" w:lineRule="auto"/>
        <w:ind w:firstLine="484" w:firstLineChars="202"/>
        <w:rPr>
          <w:rFonts w:ascii="宋体" w:hAnsi="宋体" w:eastAsia="宋体" w:cs="宋体"/>
        </w:rPr>
      </w:pPr>
      <w:r>
        <w:rPr>
          <w:rFonts w:hint="eastAsia" w:ascii="宋体" w:hAnsi="宋体" w:eastAsia="宋体" w:cs="宋体"/>
        </w:rPr>
        <w:t>（2）质疑人在规定的时间内不配合进行质疑调查处理的，按自动撤回《质疑函》处理。</w:t>
      </w:r>
    </w:p>
    <w:p w14:paraId="039FD4E8">
      <w:pPr>
        <w:snapToGrid w:val="0"/>
        <w:spacing w:line="360" w:lineRule="auto"/>
        <w:ind w:firstLine="484" w:firstLineChars="202"/>
        <w:rPr>
          <w:rFonts w:ascii="宋体" w:hAnsi="宋体" w:eastAsia="宋体" w:cs="宋体"/>
        </w:rPr>
      </w:pPr>
      <w:r>
        <w:rPr>
          <w:rFonts w:hint="eastAsia" w:ascii="宋体" w:hAnsi="宋体" w:eastAsia="宋体" w:cs="宋体"/>
        </w:rPr>
        <w:t>（3）质疑人不按《质疑函》格式就提出质疑的，作违约处理。同时，视情列入不良供应商名单。</w:t>
      </w:r>
    </w:p>
    <w:p w14:paraId="4A4602AD">
      <w:pPr>
        <w:snapToGrid w:val="0"/>
        <w:spacing w:line="360" w:lineRule="auto"/>
        <w:ind w:firstLine="484" w:firstLineChars="202"/>
        <w:rPr>
          <w:rFonts w:ascii="宋体" w:hAnsi="宋体" w:eastAsia="宋体" w:cs="宋体"/>
        </w:rPr>
      </w:pPr>
      <w:r>
        <w:rPr>
          <w:rFonts w:hint="eastAsia" w:ascii="宋体" w:hAnsi="宋体" w:eastAsia="宋体" w:cs="宋体"/>
        </w:rPr>
        <w:t>（4）质疑人虽提供了相关佐证材料，但不能证明其质疑成立的，采购单位请质疑人补充相关佐证材料，仍不能证明其质疑成立的，作违约处理。并将其列入不良供应商名单。</w:t>
      </w:r>
    </w:p>
    <w:p w14:paraId="0F3CEC5A">
      <w:pPr>
        <w:snapToGrid w:val="0"/>
        <w:spacing w:line="360" w:lineRule="auto"/>
        <w:ind w:firstLine="484" w:firstLineChars="202"/>
        <w:rPr>
          <w:rFonts w:ascii="宋体" w:hAnsi="宋体" w:eastAsia="宋体" w:cs="宋体"/>
        </w:rPr>
      </w:pPr>
      <w:r>
        <w:rPr>
          <w:rFonts w:hint="eastAsia" w:ascii="宋体" w:hAnsi="宋体" w:eastAsia="宋体" w:cs="宋体"/>
        </w:rPr>
        <w:t>（5）质疑人不能提供相关佐证材料的，采购单位已指出，质疑人仍然坚持提出质疑的，作违约处理。同时，列入不良供应商名单。</w:t>
      </w:r>
    </w:p>
    <w:p w14:paraId="421D0E0F">
      <w:pPr>
        <w:snapToGrid w:val="0"/>
        <w:spacing w:line="360" w:lineRule="auto"/>
        <w:ind w:firstLine="484" w:firstLineChars="202"/>
        <w:rPr>
          <w:rFonts w:ascii="宋体" w:hAnsi="宋体" w:eastAsia="宋体" w:cs="宋体"/>
        </w:rPr>
      </w:pPr>
      <w:r>
        <w:rPr>
          <w:rFonts w:hint="eastAsia" w:ascii="宋体" w:hAnsi="宋体" w:eastAsia="宋体" w:cs="宋体"/>
        </w:rPr>
        <w:t>（6）对明显有违事实的、经相关专家或竞争性谈判小组认定无依据的、经其他供应商举证无依据的质疑，作违约处理，列入不良供应商名单；</w:t>
      </w:r>
    </w:p>
    <w:p w14:paraId="6F4A3FC2">
      <w:pPr>
        <w:snapToGrid w:val="0"/>
        <w:spacing w:line="360" w:lineRule="auto"/>
        <w:ind w:firstLine="484" w:firstLineChars="202"/>
        <w:rPr>
          <w:rFonts w:ascii="宋体" w:hAnsi="宋体" w:eastAsia="宋体" w:cs="宋体"/>
        </w:rPr>
      </w:pPr>
      <w:r>
        <w:rPr>
          <w:rFonts w:hint="eastAsia" w:ascii="宋体" w:hAnsi="宋体" w:eastAsia="宋体" w:cs="宋体"/>
        </w:rPr>
        <w:t>（7）质疑人承担使用虚假材料或恶意方式质疑的法律责任。</w:t>
      </w:r>
    </w:p>
    <w:p w14:paraId="090A6DF2">
      <w:pPr>
        <w:snapToGrid w:val="0"/>
        <w:spacing w:line="360" w:lineRule="auto"/>
        <w:ind w:firstLine="487" w:firstLineChars="202"/>
        <w:outlineLvl w:val="1"/>
        <w:rPr>
          <w:rFonts w:ascii="宋体" w:hAnsi="宋体" w:eastAsia="宋体" w:cs="宋体"/>
        </w:rPr>
      </w:pPr>
      <w:r>
        <w:rPr>
          <w:rFonts w:hint="eastAsia" w:ascii="宋体" w:hAnsi="宋体" w:eastAsia="宋体" w:cs="宋体"/>
          <w:b/>
          <w:bCs/>
        </w:rPr>
        <w:t>四、无佐证材料的举报作违约处理</w:t>
      </w:r>
    </w:p>
    <w:p w14:paraId="341E42B2">
      <w:pPr>
        <w:snapToGrid w:val="0"/>
        <w:spacing w:line="360" w:lineRule="auto"/>
        <w:ind w:firstLine="484" w:firstLineChars="202"/>
        <w:rPr>
          <w:rFonts w:ascii="宋体" w:hAnsi="宋体" w:eastAsia="宋体" w:cs="宋体"/>
        </w:rPr>
      </w:pPr>
      <w:r>
        <w:rPr>
          <w:rFonts w:hint="eastAsia" w:ascii="宋体" w:hAnsi="宋体" w:eastAsia="宋体" w:cs="宋体"/>
        </w:rPr>
        <w:t>供应商不得进行不提供相关佐证材料（含无法查实的如宣传册、媒体报道、猜测、推理等）向有关部门的举报，否则作违约处理。</w:t>
      </w:r>
    </w:p>
    <w:p w14:paraId="1773203C">
      <w:pPr>
        <w:snapToGrid w:val="0"/>
        <w:spacing w:line="360" w:lineRule="auto"/>
        <w:ind w:firstLine="487" w:firstLineChars="202"/>
        <w:outlineLvl w:val="1"/>
        <w:rPr>
          <w:rFonts w:ascii="宋体" w:hAnsi="宋体" w:eastAsia="宋体" w:cs="宋体"/>
        </w:rPr>
      </w:pPr>
      <w:r>
        <w:rPr>
          <w:rFonts w:hint="eastAsia" w:ascii="宋体" w:hAnsi="宋体" w:eastAsia="宋体" w:cs="宋体"/>
          <w:b/>
          <w:bCs/>
        </w:rPr>
        <w:t>五、投诉不成立的作违约处理</w:t>
      </w:r>
    </w:p>
    <w:p w14:paraId="34D22DB8">
      <w:pPr>
        <w:snapToGrid w:val="0"/>
        <w:spacing w:line="360" w:lineRule="auto"/>
        <w:ind w:firstLine="484" w:firstLineChars="202"/>
        <w:rPr>
          <w:rFonts w:ascii="宋体" w:hAnsi="宋体" w:eastAsia="宋体" w:cs="宋体"/>
        </w:rPr>
      </w:pPr>
      <w:r>
        <w:rPr>
          <w:rFonts w:hint="eastAsia" w:ascii="宋体" w:hAnsi="宋体" w:eastAsia="宋体" w:cs="宋体"/>
        </w:rPr>
        <w:t>1.供应商进行质疑后，采购单位回复质疑不成立，供应商仍进行投诉的，并最终投诉不成立的，作违约处理。采购单位有权对其在1至3年内禁入由采购单位组织的政府采购活动的违约处理。</w:t>
      </w:r>
    </w:p>
    <w:p w14:paraId="5D3EAD77">
      <w:pPr>
        <w:snapToGrid w:val="0"/>
        <w:spacing w:line="360" w:lineRule="auto"/>
        <w:ind w:firstLine="484" w:firstLineChars="202"/>
        <w:rPr>
          <w:rFonts w:ascii="宋体" w:hAnsi="宋体" w:eastAsia="宋体" w:cs="宋体"/>
        </w:rPr>
      </w:pPr>
      <w:r>
        <w:rPr>
          <w:rFonts w:hint="eastAsia" w:ascii="宋体" w:hAnsi="宋体" w:eastAsia="宋体" w:cs="宋体"/>
        </w:rPr>
        <w:t>2.《质疑函》、《质疑回复函》，质疑、举报、投诉不成立的等相关情况，视情在本区人民政府网、市、省、国家级相关媒体予以披露。并建议相关政府采购机构对该供应商同步实施1至3年内禁入。</w:t>
      </w:r>
    </w:p>
    <w:p w14:paraId="5B9C7733">
      <w:pPr>
        <w:snapToGrid w:val="0"/>
        <w:spacing w:line="360" w:lineRule="auto"/>
        <w:ind w:firstLine="487" w:firstLineChars="202"/>
        <w:outlineLvl w:val="1"/>
        <w:rPr>
          <w:rFonts w:ascii="宋体" w:hAnsi="宋体" w:eastAsia="宋体" w:cs="宋体"/>
        </w:rPr>
      </w:pPr>
      <w:r>
        <w:rPr>
          <w:rFonts w:hint="eastAsia" w:ascii="宋体" w:hAnsi="宋体" w:eastAsia="宋体" w:cs="宋体"/>
          <w:b/>
          <w:bCs/>
        </w:rPr>
        <w:t>六、质疑的答复</w:t>
      </w:r>
    </w:p>
    <w:p w14:paraId="1F082195">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质疑供应商对采购单位或代理机构的答复不满意或者采购单位或代理机构未在规定的时间内作出答复的，可以在答复期满后15个工作日内向本级采购监督管理部门投诉。</w:t>
      </w:r>
    </w:p>
    <w:bookmarkEnd w:id="16"/>
    <w:p w14:paraId="0F3B30EA">
      <w:pPr>
        <w:spacing w:line="420" w:lineRule="exact"/>
        <w:ind w:firstLine="484" w:firstLineChars="202"/>
        <w:rPr>
          <w:rFonts w:ascii="宋体" w:hAnsi="宋体" w:eastAsia="宋体" w:cs="宋体"/>
        </w:rPr>
      </w:pPr>
    </w:p>
    <w:p w14:paraId="24277150">
      <w:pPr>
        <w:tabs>
          <w:tab w:val="left" w:pos="1050"/>
          <w:tab w:val="right" w:leader="dot" w:pos="9402"/>
        </w:tabs>
        <w:spacing w:beforeLines="100" w:line="600" w:lineRule="exact"/>
        <w:jc w:val="center"/>
        <w:outlineLvl w:val="0"/>
        <w:rPr>
          <w:rFonts w:ascii="宋体" w:hAnsi="宋体" w:eastAsia="宋体" w:cs="宋体"/>
          <w:b/>
          <w:bCs/>
          <w:w w:val="80"/>
          <w:sz w:val="36"/>
          <w:szCs w:val="36"/>
        </w:rPr>
      </w:pPr>
      <w:bookmarkStart w:id="17" w:name="_Toc363573860"/>
      <w:r>
        <w:rPr>
          <w:rFonts w:hint="eastAsia" w:ascii="宋体" w:hAnsi="宋体" w:eastAsia="宋体" w:cs="宋体"/>
          <w:b/>
          <w:bCs/>
          <w:w w:val="80"/>
          <w:sz w:val="36"/>
          <w:szCs w:val="36"/>
        </w:rPr>
        <w:br w:type="page"/>
      </w:r>
      <w:r>
        <w:rPr>
          <w:rFonts w:hint="eastAsia" w:ascii="宋体" w:hAnsi="宋体" w:eastAsia="宋体" w:cs="宋体"/>
          <w:b/>
          <w:bCs/>
          <w:w w:val="80"/>
          <w:sz w:val="36"/>
          <w:szCs w:val="36"/>
        </w:rPr>
        <w:t>第七章</w:t>
      </w:r>
      <w:bookmarkEnd w:id="17"/>
      <w:r>
        <w:rPr>
          <w:rFonts w:hint="eastAsia" w:ascii="宋体" w:hAnsi="宋体" w:eastAsia="宋体" w:cs="宋体"/>
          <w:b/>
          <w:bCs/>
          <w:w w:val="80"/>
          <w:sz w:val="36"/>
          <w:szCs w:val="36"/>
        </w:rPr>
        <w:t>响应文件组成及格式</w:t>
      </w:r>
    </w:p>
    <w:p w14:paraId="6E760815">
      <w:pPr>
        <w:widowControl/>
        <w:snapToGrid w:val="0"/>
        <w:spacing w:line="360" w:lineRule="auto"/>
        <w:ind w:firstLine="472" w:firstLineChars="196"/>
        <w:jc w:val="left"/>
        <w:rPr>
          <w:rFonts w:ascii="宋体" w:hAnsi="宋体" w:eastAsia="宋体" w:cs="宋体"/>
          <w:b/>
          <w:bCs/>
        </w:rPr>
      </w:pPr>
      <w:r>
        <w:rPr>
          <w:rFonts w:hint="eastAsia" w:ascii="宋体" w:hAnsi="宋体" w:eastAsia="宋体" w:cs="宋体"/>
          <w:b/>
          <w:bCs/>
        </w:rPr>
        <w:t>响应文件由资格审查文件、技术响应文件、价格响应文件三部分组成。</w:t>
      </w:r>
    </w:p>
    <w:p w14:paraId="57CDE01F">
      <w:pPr>
        <w:snapToGrid w:val="0"/>
        <w:spacing w:line="360" w:lineRule="auto"/>
        <w:ind w:firstLine="496" w:firstLineChars="206"/>
        <w:outlineLvl w:val="1"/>
        <w:rPr>
          <w:rFonts w:ascii="宋体" w:hAnsi="宋体" w:eastAsia="宋体" w:cs="宋体"/>
          <w:b/>
          <w:bCs/>
          <w:snapToGrid w:val="0"/>
          <w:kern w:val="0"/>
        </w:rPr>
      </w:pPr>
      <w:r>
        <w:rPr>
          <w:rFonts w:hint="eastAsia" w:ascii="宋体" w:hAnsi="宋体" w:eastAsia="宋体" w:cs="宋体"/>
          <w:b/>
          <w:bCs/>
          <w:snapToGrid w:val="0"/>
          <w:kern w:val="0"/>
        </w:rPr>
        <w:t>一、资格审查文件（单独装订密封）</w:t>
      </w:r>
    </w:p>
    <w:p w14:paraId="2A66744C">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1、供应商符合规定条件的声明函；（格式见附件）</w:t>
      </w:r>
    </w:p>
    <w:p w14:paraId="72E42B07">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2、法定代表人身份证明书；（格式见附件）</w:t>
      </w:r>
    </w:p>
    <w:p w14:paraId="5A3A7860">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3、法定代表人授权委托书原件，磋商代表本人身份证复印件；（格式见附件）</w:t>
      </w:r>
    </w:p>
    <w:p w14:paraId="7CEBA1AA">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4、谈判供应商的营业执照（副本）复印件；</w:t>
      </w:r>
    </w:p>
    <w:p w14:paraId="6479C26F">
      <w:pPr>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5、拟派项目经理需有系统集成中级证书以及HR相关认证证书；</w:t>
      </w:r>
    </w:p>
    <w:p w14:paraId="4BA7CA12">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6、供应商信用承诺书；（格式见附件）</w:t>
      </w:r>
    </w:p>
    <w:p w14:paraId="6E523A37">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7、其它需要提交的资格审查证明材料。</w:t>
      </w:r>
    </w:p>
    <w:p w14:paraId="6B7114B7">
      <w:pPr>
        <w:snapToGrid w:val="0"/>
        <w:spacing w:line="360" w:lineRule="auto"/>
        <w:ind w:firstLine="496" w:firstLineChars="206"/>
        <w:outlineLvl w:val="1"/>
        <w:rPr>
          <w:rFonts w:ascii="宋体" w:hAnsi="宋体" w:eastAsia="宋体" w:cs="宋体"/>
          <w:b/>
          <w:bCs/>
          <w:snapToGrid w:val="0"/>
          <w:kern w:val="0"/>
        </w:rPr>
      </w:pPr>
      <w:r>
        <w:rPr>
          <w:rFonts w:hint="eastAsia" w:ascii="宋体" w:hAnsi="宋体" w:eastAsia="宋体" w:cs="宋体"/>
          <w:b/>
          <w:bCs/>
          <w:snapToGrid w:val="0"/>
          <w:kern w:val="0"/>
        </w:rPr>
        <w:t>二、技术响应文件（单独装订密封）</w:t>
      </w:r>
    </w:p>
    <w:p w14:paraId="628EE010">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1、竞争性谈判响应函；（格式见附件）</w:t>
      </w:r>
    </w:p>
    <w:p w14:paraId="3153D133">
      <w:pPr>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2、自2023年1月1日以来，供应商承接过本项目类似的业绩；（提供有效的合同复印件并加盖公章，时间以合同签订时间为准）</w:t>
      </w:r>
    </w:p>
    <w:p w14:paraId="71591217">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3、提供系统需求分析和理解、系统设计方案、系统验收方案；（包括系统功能、应用效果</w:t>
      </w:r>
      <w:bookmarkStart w:id="19" w:name="_GoBack"/>
      <w:bookmarkEnd w:id="19"/>
      <w:r>
        <w:rPr>
          <w:rFonts w:hint="eastAsia" w:asciiTheme="minorEastAsia" w:hAnsiTheme="minorEastAsia" w:eastAsiaTheme="minorEastAsia"/>
        </w:rPr>
        <w:t>、系统性能详细描述、测试项目、指标等内容）</w:t>
      </w:r>
    </w:p>
    <w:p w14:paraId="2DD1976B">
      <w:pPr>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4、提供项目管理及实施方案；（包括项目管理及实施方案需包含项目组织架构、各阶段实施任务、项目质量管理、进度管理、风险管理、文档管理等内容）</w:t>
      </w:r>
    </w:p>
    <w:p w14:paraId="750FED52">
      <w:pPr>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5、提供技术培训方案；（包括系统安装前基础培训、安装后的日常维护以及系统软件升级、更新后必要的培训等内容）</w:t>
      </w:r>
    </w:p>
    <w:p w14:paraId="23827CDF">
      <w:pPr>
        <w:snapToGrid w:val="0"/>
        <w:spacing w:line="360" w:lineRule="auto"/>
        <w:ind w:firstLine="480" w:firstLineChars="200"/>
        <w:rPr>
          <w:rFonts w:asciiTheme="minorEastAsia" w:hAnsiTheme="minorEastAsia"/>
        </w:rPr>
      </w:pPr>
      <w:r>
        <w:rPr>
          <w:rFonts w:hint="eastAsia" w:asciiTheme="minorEastAsia" w:hAnsiTheme="minorEastAsia" w:eastAsiaTheme="minorEastAsia"/>
        </w:rPr>
        <w:t>6、提供针对本项目的日常服务保障措施和应急服务方案；(包括运维人员、维护力量，软件故障响应时间等,并且明确免费维护期以后的运维方案和维护人员配置)</w:t>
      </w:r>
    </w:p>
    <w:p w14:paraId="7348CFB9">
      <w:pPr>
        <w:snapToGrid w:val="0"/>
        <w:spacing w:line="360" w:lineRule="auto"/>
        <w:ind w:firstLine="240" w:firstLineChars="100"/>
        <w:rPr>
          <w:rFonts w:asciiTheme="minorEastAsia" w:hAnsiTheme="minorEastAsia" w:eastAsiaTheme="minorEastAsia"/>
        </w:rPr>
      </w:pPr>
      <w:r>
        <w:rPr>
          <w:rFonts w:hint="eastAsia" w:asciiTheme="minorEastAsia" w:hAnsiTheme="minorEastAsia" w:eastAsiaTheme="minorEastAsia"/>
        </w:rPr>
        <w:t xml:space="preserve">  7、供应商认为需要提交的其他证明材料。</w:t>
      </w:r>
    </w:p>
    <w:p w14:paraId="75E7E0C7">
      <w:pPr>
        <w:widowControl/>
        <w:snapToGrid w:val="0"/>
        <w:spacing w:beforeLines="30" w:afterLines="20" w:line="360" w:lineRule="auto"/>
        <w:ind w:firstLine="482" w:firstLineChars="200"/>
        <w:jc w:val="left"/>
        <w:rPr>
          <w:rFonts w:ascii="宋体" w:hAnsi="宋体" w:eastAsia="宋体" w:cs="宋体"/>
          <w:b/>
          <w:bCs/>
          <w:snapToGrid w:val="0"/>
          <w:kern w:val="0"/>
        </w:rPr>
      </w:pPr>
      <w:r>
        <w:rPr>
          <w:rFonts w:hint="eastAsia" w:ascii="宋体" w:hAnsi="宋体" w:eastAsia="宋体" w:cs="宋体"/>
          <w:b/>
          <w:bCs/>
          <w:snapToGrid w:val="0"/>
          <w:kern w:val="0"/>
        </w:rPr>
        <w:t>三、价格响应文件（单独装订密封），不得出现在资格审查文件、技术响应文件中</w:t>
      </w:r>
    </w:p>
    <w:p w14:paraId="47E3B984">
      <w:pPr>
        <w:snapToGrid w:val="0"/>
        <w:spacing w:line="360" w:lineRule="auto"/>
        <w:ind w:firstLine="494" w:firstLineChars="206"/>
        <w:outlineLvl w:val="1"/>
        <w:rPr>
          <w:rFonts w:ascii="宋体" w:hAnsi="宋体" w:eastAsia="宋体" w:cs="宋体"/>
          <w:snapToGrid w:val="0"/>
          <w:kern w:val="0"/>
        </w:rPr>
      </w:pPr>
      <w:r>
        <w:rPr>
          <w:rFonts w:hint="eastAsia" w:ascii="宋体" w:hAnsi="宋体" w:eastAsia="宋体" w:cs="宋体"/>
          <w:snapToGrid w:val="0"/>
          <w:kern w:val="0"/>
        </w:rPr>
        <w:t>1、竞争性谈判响应报价总表</w:t>
      </w:r>
      <w:r>
        <w:rPr>
          <w:rFonts w:hint="eastAsia" w:asciiTheme="minorEastAsia" w:hAnsiTheme="minorEastAsia" w:eastAsiaTheme="minorEastAsia"/>
        </w:rPr>
        <w:t>（格式见附件）</w:t>
      </w:r>
      <w:r>
        <w:rPr>
          <w:rFonts w:hint="eastAsia" w:ascii="宋体" w:hAnsi="宋体" w:eastAsia="宋体" w:cs="宋体"/>
          <w:snapToGrid w:val="0"/>
          <w:kern w:val="0"/>
        </w:rPr>
        <w:t>；</w:t>
      </w:r>
    </w:p>
    <w:p w14:paraId="529A064B">
      <w:pPr>
        <w:snapToGrid w:val="0"/>
        <w:spacing w:line="360" w:lineRule="auto"/>
        <w:ind w:firstLine="494" w:firstLineChars="206"/>
        <w:outlineLvl w:val="1"/>
        <w:rPr>
          <w:rFonts w:ascii="宋体" w:hAnsi="宋体" w:eastAsia="宋体" w:cs="宋体"/>
          <w:snapToGrid w:val="0"/>
          <w:kern w:val="0"/>
        </w:rPr>
      </w:pPr>
      <w:r>
        <w:rPr>
          <w:rFonts w:hint="eastAsia" w:ascii="宋体" w:hAnsi="宋体" w:eastAsia="宋体" w:cs="宋体"/>
          <w:snapToGrid w:val="0"/>
          <w:kern w:val="0"/>
        </w:rPr>
        <w:t>2、竞争性谈判响应报价明细表（格式自拟）。</w:t>
      </w:r>
    </w:p>
    <w:p w14:paraId="13466299">
      <w:pPr>
        <w:snapToGrid w:val="0"/>
        <w:spacing w:line="360" w:lineRule="auto"/>
        <w:ind w:firstLine="496" w:firstLineChars="206"/>
        <w:outlineLvl w:val="1"/>
        <w:rPr>
          <w:rFonts w:ascii="宋体" w:hAnsi="宋体" w:eastAsia="宋体" w:cs="宋体"/>
          <w:snapToGrid w:val="0"/>
          <w:kern w:val="0"/>
        </w:rPr>
      </w:pPr>
      <w:r>
        <w:rPr>
          <w:rFonts w:hint="eastAsia" w:ascii="宋体" w:hAnsi="宋体" w:eastAsia="宋体" w:cs="宋体"/>
          <w:b/>
          <w:bCs/>
        </w:rPr>
        <w:br w:type="page"/>
      </w:r>
      <w:r>
        <w:rPr>
          <w:rFonts w:hint="eastAsia" w:ascii="宋体" w:hAnsi="宋体" w:eastAsia="宋体" w:cs="宋体"/>
          <w:b/>
          <w:bCs/>
        </w:rPr>
        <w:t>附件：</w:t>
      </w:r>
    </w:p>
    <w:p w14:paraId="3FAF7335">
      <w:pPr>
        <w:adjustRightInd w:val="0"/>
        <w:snapToGrid w:val="0"/>
        <w:spacing w:line="420" w:lineRule="exact"/>
        <w:ind w:firstLine="3619" w:firstLineChars="1502"/>
        <w:jc w:val="left"/>
        <w:outlineLvl w:val="1"/>
        <w:rPr>
          <w:rFonts w:ascii="宋体" w:hAnsi="宋体" w:eastAsia="宋体" w:cs="宋体"/>
          <w:b/>
          <w:bCs/>
        </w:rPr>
      </w:pPr>
      <w:r>
        <w:rPr>
          <w:rFonts w:hint="eastAsia" w:ascii="宋体" w:hAnsi="宋体" w:eastAsia="宋体" w:cs="宋体"/>
          <w:b/>
          <w:bCs/>
        </w:rPr>
        <w:t>投标响应文件封面范例</w:t>
      </w:r>
    </w:p>
    <w:p w14:paraId="4475D7B8">
      <w:pPr>
        <w:spacing w:beforeLines="100" w:line="360" w:lineRule="exact"/>
        <w:jc w:val="center"/>
        <w:rPr>
          <w:rFonts w:ascii="宋体" w:hAnsi="宋体" w:eastAsia="宋体" w:cs="宋体"/>
          <w:w w:val="80"/>
          <w:kern w:val="44"/>
          <w:sz w:val="36"/>
          <w:szCs w:val="36"/>
        </w:rPr>
      </w:pPr>
    </w:p>
    <w:p w14:paraId="089ECEB4">
      <w:pPr>
        <w:spacing w:beforeLines="100" w:line="360" w:lineRule="exact"/>
        <w:jc w:val="center"/>
        <w:rPr>
          <w:rFonts w:ascii="宋体" w:hAnsi="宋体" w:eastAsia="宋体" w:cs="宋体"/>
          <w:w w:val="80"/>
          <w:kern w:val="44"/>
          <w:sz w:val="36"/>
          <w:szCs w:val="36"/>
        </w:rPr>
      </w:pPr>
    </w:p>
    <w:p w14:paraId="037BE879">
      <w:pPr>
        <w:spacing w:line="520" w:lineRule="exact"/>
        <w:jc w:val="center"/>
        <w:rPr>
          <w:rFonts w:ascii="宋体" w:hAnsi="宋体" w:eastAsia="宋体" w:cs="宋体"/>
          <w:sz w:val="36"/>
          <w:szCs w:val="36"/>
        </w:rPr>
      </w:pPr>
      <w:r>
        <w:rPr>
          <w:rFonts w:hint="eastAsia" w:ascii="宋体" w:hAnsi="宋体" w:eastAsia="宋体" w:cs="宋体"/>
          <w:sz w:val="36"/>
          <w:szCs w:val="36"/>
        </w:rPr>
        <w:t>江苏大生集团信息化系统改造项目</w:t>
      </w:r>
    </w:p>
    <w:p w14:paraId="18970D9D">
      <w:pPr>
        <w:spacing w:line="520" w:lineRule="exact"/>
        <w:jc w:val="center"/>
        <w:rPr>
          <w:rFonts w:ascii="宋体" w:hAnsi="宋体" w:eastAsia="宋体" w:cs="宋体"/>
          <w:sz w:val="36"/>
          <w:szCs w:val="36"/>
        </w:rPr>
      </w:pPr>
      <w:r>
        <w:rPr>
          <w:rFonts w:hint="eastAsia" w:ascii="宋体" w:hAnsi="宋体" w:eastAsia="宋体" w:cs="宋体"/>
          <w:sz w:val="36"/>
          <w:szCs w:val="36"/>
        </w:rPr>
        <w:t>竞争性谈判响应文件</w:t>
      </w:r>
    </w:p>
    <w:p w14:paraId="0E7CBEB7">
      <w:pPr>
        <w:spacing w:line="520" w:lineRule="exact"/>
        <w:jc w:val="center"/>
        <w:rPr>
          <w:rFonts w:ascii="宋体" w:hAnsi="宋体" w:eastAsia="宋体" w:cs="宋体"/>
          <w:sz w:val="36"/>
          <w:szCs w:val="36"/>
        </w:rPr>
      </w:pPr>
    </w:p>
    <w:p w14:paraId="1503BFF3">
      <w:pPr>
        <w:spacing w:line="360" w:lineRule="exact"/>
        <w:jc w:val="center"/>
        <w:rPr>
          <w:rFonts w:ascii="宋体" w:hAnsi="宋体" w:eastAsia="宋体" w:cs="宋体"/>
        </w:rPr>
      </w:pPr>
      <w:r>
        <w:rPr>
          <w:rFonts w:hint="eastAsia" w:ascii="宋体" w:hAnsi="宋体" w:eastAsia="宋体" w:cs="宋体"/>
        </w:rPr>
        <w:t>对应竞争性谈判响应文件，相应填写：A资格后审材料文件</w:t>
      </w:r>
    </w:p>
    <w:p w14:paraId="5196BACF">
      <w:pPr>
        <w:spacing w:line="360" w:lineRule="exact"/>
        <w:ind w:firstLine="5678" w:firstLineChars="2366"/>
        <w:jc w:val="left"/>
        <w:rPr>
          <w:rFonts w:ascii="宋体" w:hAnsi="宋体" w:eastAsia="宋体" w:cs="宋体"/>
        </w:rPr>
      </w:pPr>
      <w:r>
        <w:rPr>
          <w:rFonts w:hint="eastAsia" w:ascii="宋体" w:hAnsi="宋体" w:eastAsia="宋体" w:cs="宋体"/>
        </w:rPr>
        <w:t>B技术响应文件</w:t>
      </w:r>
    </w:p>
    <w:p w14:paraId="2CE8F757">
      <w:pPr>
        <w:spacing w:line="360" w:lineRule="exact"/>
        <w:ind w:firstLine="5678" w:firstLineChars="2366"/>
        <w:jc w:val="left"/>
        <w:rPr>
          <w:rFonts w:ascii="宋体" w:hAnsi="宋体" w:eastAsia="宋体" w:cs="宋体"/>
        </w:rPr>
      </w:pPr>
      <w:r>
        <w:rPr>
          <w:rFonts w:hint="eastAsia" w:ascii="宋体" w:hAnsi="宋体" w:eastAsia="宋体" w:cs="宋体"/>
        </w:rPr>
        <w:t>C价格响应文件</w:t>
      </w:r>
    </w:p>
    <w:p w14:paraId="02CDCE1C">
      <w:pPr>
        <w:spacing w:line="360" w:lineRule="exact"/>
        <w:jc w:val="center"/>
        <w:rPr>
          <w:rFonts w:ascii="宋体" w:hAnsi="宋体" w:eastAsia="宋体" w:cs="宋体"/>
        </w:rPr>
      </w:pPr>
    </w:p>
    <w:p w14:paraId="03B6B6DC">
      <w:pPr>
        <w:spacing w:line="360" w:lineRule="exact"/>
        <w:jc w:val="center"/>
        <w:rPr>
          <w:rFonts w:ascii="宋体" w:hAnsi="宋体" w:eastAsia="宋体" w:cs="宋体"/>
        </w:rPr>
      </w:pPr>
    </w:p>
    <w:p w14:paraId="67CBADAF">
      <w:pPr>
        <w:spacing w:line="360" w:lineRule="exact"/>
        <w:jc w:val="center"/>
        <w:rPr>
          <w:rFonts w:ascii="宋体" w:hAnsi="宋体" w:eastAsia="宋体" w:cs="宋体"/>
        </w:rPr>
      </w:pPr>
    </w:p>
    <w:p w14:paraId="172CC887">
      <w:pPr>
        <w:spacing w:line="360" w:lineRule="exact"/>
        <w:jc w:val="center"/>
        <w:rPr>
          <w:rFonts w:ascii="宋体" w:hAnsi="宋体" w:eastAsia="宋体" w:cs="宋体"/>
        </w:rPr>
      </w:pPr>
    </w:p>
    <w:p w14:paraId="38E09319">
      <w:pPr>
        <w:spacing w:line="360" w:lineRule="exact"/>
        <w:jc w:val="center"/>
        <w:rPr>
          <w:rFonts w:ascii="宋体" w:hAnsi="宋体" w:eastAsia="宋体" w:cs="宋体"/>
        </w:rPr>
      </w:pPr>
    </w:p>
    <w:p w14:paraId="0288C4A5">
      <w:pPr>
        <w:spacing w:line="360" w:lineRule="exact"/>
        <w:jc w:val="center"/>
        <w:rPr>
          <w:rFonts w:ascii="宋体" w:hAnsi="宋体" w:eastAsia="宋体" w:cs="宋体"/>
        </w:rPr>
      </w:pPr>
    </w:p>
    <w:p w14:paraId="5667F8F8">
      <w:pPr>
        <w:spacing w:line="360" w:lineRule="exact"/>
        <w:jc w:val="center"/>
        <w:rPr>
          <w:rFonts w:ascii="宋体" w:hAnsi="宋体" w:eastAsia="宋体" w:cs="宋体"/>
        </w:rPr>
      </w:pPr>
    </w:p>
    <w:p w14:paraId="57E081EA">
      <w:pPr>
        <w:spacing w:line="360" w:lineRule="exact"/>
        <w:jc w:val="center"/>
        <w:rPr>
          <w:rFonts w:ascii="宋体" w:hAnsi="宋体" w:eastAsia="宋体" w:cs="宋体"/>
        </w:rPr>
      </w:pPr>
    </w:p>
    <w:p w14:paraId="3844744A">
      <w:pPr>
        <w:spacing w:line="360" w:lineRule="exact"/>
        <w:jc w:val="center"/>
        <w:rPr>
          <w:rFonts w:ascii="宋体" w:hAnsi="宋体" w:eastAsia="宋体" w:cs="宋体"/>
        </w:rPr>
      </w:pPr>
    </w:p>
    <w:p w14:paraId="483A10CC">
      <w:pPr>
        <w:spacing w:line="360" w:lineRule="exact"/>
        <w:jc w:val="center"/>
        <w:rPr>
          <w:rFonts w:ascii="宋体" w:hAnsi="宋体" w:eastAsia="宋体" w:cs="宋体"/>
        </w:rPr>
      </w:pPr>
    </w:p>
    <w:p w14:paraId="735D60E2">
      <w:pPr>
        <w:spacing w:line="360" w:lineRule="exact"/>
        <w:jc w:val="center"/>
        <w:rPr>
          <w:rFonts w:ascii="宋体" w:hAnsi="宋体" w:eastAsia="宋体" w:cs="宋体"/>
        </w:rPr>
      </w:pPr>
    </w:p>
    <w:p w14:paraId="6804AC5C">
      <w:pPr>
        <w:spacing w:line="360" w:lineRule="exact"/>
        <w:jc w:val="center"/>
        <w:rPr>
          <w:rFonts w:ascii="宋体" w:hAnsi="宋体" w:eastAsia="宋体" w:cs="宋体"/>
        </w:rPr>
      </w:pPr>
    </w:p>
    <w:p w14:paraId="3C67C66E">
      <w:pPr>
        <w:spacing w:line="360" w:lineRule="exact"/>
        <w:jc w:val="center"/>
        <w:rPr>
          <w:rFonts w:ascii="宋体" w:hAnsi="宋体" w:eastAsia="宋体" w:cs="宋体"/>
        </w:rPr>
      </w:pPr>
    </w:p>
    <w:p w14:paraId="6385A907">
      <w:pPr>
        <w:spacing w:line="360" w:lineRule="exact"/>
        <w:jc w:val="center"/>
        <w:rPr>
          <w:rFonts w:ascii="宋体" w:hAnsi="宋体" w:eastAsia="宋体" w:cs="宋体"/>
        </w:rPr>
      </w:pPr>
    </w:p>
    <w:p w14:paraId="23523149">
      <w:pPr>
        <w:spacing w:line="360" w:lineRule="exact"/>
        <w:jc w:val="center"/>
        <w:rPr>
          <w:rFonts w:ascii="宋体" w:hAnsi="宋体" w:eastAsia="宋体" w:cs="宋体"/>
        </w:rPr>
      </w:pPr>
    </w:p>
    <w:p w14:paraId="2FB695E1">
      <w:pPr>
        <w:spacing w:line="360" w:lineRule="exact"/>
        <w:jc w:val="center"/>
        <w:rPr>
          <w:rFonts w:ascii="宋体" w:hAnsi="宋体" w:eastAsia="宋体" w:cs="宋体"/>
        </w:rPr>
      </w:pPr>
    </w:p>
    <w:p w14:paraId="0D595C96">
      <w:pPr>
        <w:spacing w:line="360" w:lineRule="exact"/>
        <w:jc w:val="center"/>
        <w:rPr>
          <w:rFonts w:ascii="宋体" w:hAnsi="宋体" w:eastAsia="宋体" w:cs="宋体"/>
        </w:rPr>
      </w:pPr>
    </w:p>
    <w:p w14:paraId="629C68F4">
      <w:pPr>
        <w:adjustRightInd w:val="0"/>
        <w:snapToGrid w:val="0"/>
        <w:spacing w:line="420" w:lineRule="exact"/>
        <w:jc w:val="center"/>
        <w:rPr>
          <w:rFonts w:ascii="宋体" w:hAnsi="宋体" w:eastAsia="宋体" w:cs="宋体"/>
        </w:rPr>
      </w:pPr>
      <w:r>
        <w:rPr>
          <w:rFonts w:hint="eastAsia" w:ascii="宋体" w:hAnsi="宋体" w:eastAsia="宋体" w:cs="宋体"/>
        </w:rPr>
        <w:t>供应商：参加竞争性谈判响应供应商全称</w:t>
      </w:r>
    </w:p>
    <w:p w14:paraId="0C9962D1">
      <w:pPr>
        <w:snapToGrid w:val="0"/>
        <w:spacing w:line="420" w:lineRule="exact"/>
        <w:jc w:val="center"/>
        <w:rPr>
          <w:rFonts w:ascii="宋体" w:hAnsi="宋体" w:eastAsia="宋体" w:cs="宋体"/>
        </w:rPr>
      </w:pPr>
      <w:r>
        <w:rPr>
          <w:rFonts w:hint="eastAsia" w:ascii="宋体" w:hAnsi="宋体" w:eastAsia="宋体" w:cs="宋体"/>
        </w:rPr>
        <w:t>二〇二六年  月  日</w:t>
      </w:r>
    </w:p>
    <w:p w14:paraId="66852B6E">
      <w:pPr>
        <w:snapToGrid w:val="0"/>
        <w:spacing w:line="420" w:lineRule="exact"/>
        <w:jc w:val="center"/>
        <w:rPr>
          <w:rFonts w:ascii="宋体" w:hAnsi="宋体" w:eastAsia="宋体" w:cs="宋体"/>
        </w:rPr>
      </w:pPr>
    </w:p>
    <w:p w14:paraId="08F5C49E">
      <w:pPr>
        <w:adjustRightInd w:val="0"/>
        <w:snapToGrid w:val="0"/>
        <w:spacing w:line="420" w:lineRule="exact"/>
        <w:ind w:firstLine="487" w:firstLineChars="202"/>
        <w:jc w:val="left"/>
        <w:outlineLvl w:val="1"/>
        <w:rPr>
          <w:rFonts w:ascii="宋体" w:hAnsi="宋体" w:eastAsia="宋体" w:cs="宋体"/>
          <w:b/>
          <w:bCs/>
          <w:u w:val="thick" w:color="FF0000"/>
        </w:rPr>
      </w:pPr>
      <w:r>
        <w:rPr>
          <w:rFonts w:hint="eastAsia" w:ascii="宋体" w:hAnsi="宋体" w:eastAsia="宋体" w:cs="宋体"/>
          <w:b/>
          <w:bCs/>
        </w:rPr>
        <w:br w:type="page"/>
      </w:r>
    </w:p>
    <w:p w14:paraId="455DFDD4">
      <w:pPr>
        <w:adjustRightInd w:val="0"/>
        <w:snapToGrid w:val="0"/>
        <w:spacing w:line="420" w:lineRule="exact"/>
        <w:ind w:firstLine="566" w:firstLineChars="235"/>
        <w:outlineLvl w:val="3"/>
        <w:rPr>
          <w:rFonts w:ascii="宋体" w:hAnsi="宋体" w:eastAsia="宋体" w:cs="宋体"/>
          <w:b/>
          <w:bCs/>
        </w:rPr>
      </w:pPr>
    </w:p>
    <w:p w14:paraId="037E157F">
      <w:pPr>
        <w:jc w:val="center"/>
        <w:rPr>
          <w:rFonts w:asciiTheme="minorEastAsia" w:hAnsiTheme="minorEastAsia" w:eastAsiaTheme="minorEastAsia"/>
          <w:b/>
          <w:color w:val="000000"/>
        </w:rPr>
      </w:pPr>
      <w:r>
        <w:rPr>
          <w:rFonts w:hint="eastAsia" w:asciiTheme="minorEastAsia" w:hAnsiTheme="minorEastAsia" w:eastAsiaTheme="minorEastAsia"/>
          <w:b/>
          <w:color w:val="000000"/>
        </w:rPr>
        <w:t>1、供应商符合规定条件的声明函</w:t>
      </w:r>
    </w:p>
    <w:p w14:paraId="7CCA8725">
      <w:pPr>
        <w:spacing w:line="460" w:lineRule="exact"/>
        <w:rPr>
          <w:rFonts w:asciiTheme="minorEastAsia" w:hAnsiTheme="minorEastAsia" w:eastAsiaTheme="minorEastAsia"/>
          <w:b/>
          <w:bCs/>
          <w:color w:val="000000"/>
        </w:rPr>
      </w:pPr>
    </w:p>
    <w:p w14:paraId="5FD84C47">
      <w:pPr>
        <w:spacing w:line="520" w:lineRule="exact"/>
        <w:ind w:firstLine="480" w:firstLineChars="200"/>
        <w:rPr>
          <w:rFonts w:asciiTheme="minorEastAsia" w:hAnsiTheme="minorEastAsia" w:eastAsiaTheme="minorEastAsia"/>
          <w:b/>
          <w:bCs/>
          <w:color w:val="000000"/>
        </w:rPr>
      </w:pPr>
      <w:r>
        <w:rPr>
          <w:rFonts w:hint="eastAsia" w:asciiTheme="minorEastAsia" w:hAnsiTheme="minorEastAsia" w:eastAsiaTheme="minorEastAsia"/>
          <w:bCs/>
          <w:color w:val="000000"/>
        </w:rPr>
        <w:t>我单位参加</w:t>
      </w:r>
      <w:r>
        <w:rPr>
          <w:rFonts w:hint="eastAsia" w:asciiTheme="minorEastAsia" w:hAnsiTheme="minorEastAsia" w:eastAsiaTheme="minorEastAsia"/>
          <w:bCs/>
          <w:color w:val="000000"/>
          <w:u w:val="single"/>
        </w:rPr>
        <w:t>________________ _</w:t>
      </w:r>
      <w:r>
        <w:rPr>
          <w:rFonts w:hint="eastAsia" w:asciiTheme="minorEastAsia" w:hAnsiTheme="minorEastAsia" w:eastAsiaTheme="minorEastAsia"/>
          <w:bCs/>
          <w:color w:val="000000"/>
        </w:rPr>
        <w:t>（项目名称），</w:t>
      </w:r>
      <w:r>
        <w:rPr>
          <w:rFonts w:hint="eastAsia" w:asciiTheme="minorEastAsia" w:hAnsiTheme="minorEastAsia" w:eastAsiaTheme="minorEastAsia"/>
          <w:bCs/>
          <w:color w:val="000000"/>
          <w:u w:val="single"/>
        </w:rPr>
        <w:t>_______ __________</w:t>
      </w:r>
      <w:r>
        <w:rPr>
          <w:rFonts w:hint="eastAsia" w:asciiTheme="minorEastAsia" w:hAnsiTheme="minorEastAsia" w:eastAsiaTheme="minorEastAsia"/>
          <w:bCs/>
          <w:color w:val="000000"/>
        </w:rPr>
        <w:t>（项目编号）投标活动。做出如下声明：</w:t>
      </w:r>
    </w:p>
    <w:p w14:paraId="7D52287E">
      <w:pPr>
        <w:spacing w:line="520" w:lineRule="exact"/>
        <w:ind w:firstLine="482"/>
        <w:rPr>
          <w:rFonts w:asciiTheme="minorEastAsia" w:hAnsiTheme="minorEastAsia" w:eastAsiaTheme="minorEastAsia"/>
          <w:color w:val="000000"/>
        </w:rPr>
      </w:pPr>
      <w:r>
        <w:rPr>
          <w:rFonts w:hint="eastAsia" w:asciiTheme="minorEastAsia" w:hAnsiTheme="minorEastAsia" w:eastAsiaTheme="minorEastAsia"/>
          <w:bCs/>
          <w:color w:val="000000"/>
        </w:rPr>
        <w:t>1.我单位具有独立承担民事责任的能力；</w:t>
      </w:r>
    </w:p>
    <w:p w14:paraId="392A87E2">
      <w:pPr>
        <w:spacing w:line="520" w:lineRule="exact"/>
        <w:ind w:firstLine="482"/>
        <w:rPr>
          <w:rFonts w:asciiTheme="minorEastAsia" w:hAnsiTheme="minorEastAsia" w:eastAsiaTheme="minorEastAsia"/>
          <w:color w:val="000000"/>
        </w:rPr>
      </w:pPr>
      <w:r>
        <w:rPr>
          <w:rFonts w:hint="eastAsia" w:asciiTheme="minorEastAsia" w:hAnsiTheme="minorEastAsia" w:eastAsiaTheme="minorEastAsia"/>
          <w:color w:val="000000"/>
        </w:rPr>
        <w:t>2.我单位具有良好的商业信誉和健全的财务会计制度；</w:t>
      </w:r>
    </w:p>
    <w:p w14:paraId="71FB2B66">
      <w:pPr>
        <w:spacing w:line="520" w:lineRule="exact"/>
        <w:ind w:firstLine="482"/>
        <w:rPr>
          <w:rFonts w:asciiTheme="minorEastAsia" w:hAnsiTheme="minorEastAsia" w:eastAsiaTheme="minorEastAsia"/>
          <w:color w:val="000000"/>
        </w:rPr>
      </w:pPr>
      <w:r>
        <w:rPr>
          <w:rFonts w:hint="eastAsia" w:asciiTheme="minorEastAsia" w:hAnsiTheme="minorEastAsia" w:eastAsiaTheme="minorEastAsia"/>
          <w:color w:val="000000"/>
        </w:rPr>
        <w:t>3.我单位具有履行合同所必需的设备和专业技术能力；</w:t>
      </w:r>
    </w:p>
    <w:p w14:paraId="54DE21C6">
      <w:pPr>
        <w:spacing w:line="520" w:lineRule="exact"/>
        <w:ind w:firstLine="482"/>
        <w:rPr>
          <w:rFonts w:asciiTheme="minorEastAsia" w:hAnsiTheme="minorEastAsia" w:eastAsiaTheme="minorEastAsia"/>
          <w:color w:val="000000"/>
        </w:rPr>
      </w:pPr>
      <w:r>
        <w:rPr>
          <w:rFonts w:hint="eastAsia" w:asciiTheme="minorEastAsia" w:hAnsiTheme="minorEastAsia" w:eastAsiaTheme="minorEastAsia"/>
          <w:color w:val="000000"/>
        </w:rPr>
        <w:t>4.我单位有依法缴纳税收和社会保障资金的良好记录；</w:t>
      </w:r>
    </w:p>
    <w:p w14:paraId="09F4AE47">
      <w:pPr>
        <w:spacing w:line="520" w:lineRule="exact"/>
        <w:ind w:firstLine="482"/>
        <w:rPr>
          <w:rFonts w:asciiTheme="minorEastAsia" w:hAnsiTheme="minorEastAsia" w:eastAsiaTheme="minorEastAsia"/>
          <w:color w:val="000000"/>
        </w:rPr>
      </w:pPr>
      <w:r>
        <w:rPr>
          <w:rFonts w:hint="eastAsia" w:asciiTheme="minorEastAsia" w:hAnsiTheme="minorEastAsia" w:eastAsiaTheme="minorEastAsia"/>
          <w:color w:val="000000"/>
        </w:rPr>
        <w:t>5.我单位参加采购活动前三年内，在经营活动中没有重大违法记录；（1.供应商在参加采购活动前三年内因违法经营被禁止在一定期限内参加政府采购活动，期限届满的，可以参加政府采购活动。2.“较大数额罚款”认定为200万元以上的罚款，法律、行政法规以及国务院有关部门明确规定相关领域“较大数额罚款”标准高于200万元的，从其规定。）</w:t>
      </w:r>
    </w:p>
    <w:p w14:paraId="5A0FCFF9">
      <w:pPr>
        <w:spacing w:line="520" w:lineRule="exact"/>
        <w:ind w:firstLine="482"/>
        <w:rPr>
          <w:rFonts w:asciiTheme="minorEastAsia" w:hAnsiTheme="minorEastAsia" w:eastAsiaTheme="minorEastAsia"/>
          <w:color w:val="000000"/>
        </w:rPr>
      </w:pPr>
      <w:r>
        <w:rPr>
          <w:rFonts w:hint="eastAsia" w:asciiTheme="minorEastAsia" w:hAnsiTheme="minorEastAsia" w:eastAsiaTheme="minorEastAsia"/>
          <w:color w:val="000000"/>
        </w:rPr>
        <w:t>6.我单位满足法律、行政法规规定的其他条件。</w:t>
      </w:r>
    </w:p>
    <w:p w14:paraId="646D0D4B">
      <w:pPr>
        <w:spacing w:line="500" w:lineRule="exact"/>
        <w:ind w:firstLine="482"/>
        <w:rPr>
          <w:rFonts w:asciiTheme="minorEastAsia" w:hAnsiTheme="minorEastAsia" w:eastAsiaTheme="minorEastAsia"/>
          <w:color w:val="000000"/>
        </w:rPr>
      </w:pPr>
    </w:p>
    <w:p w14:paraId="061D8684">
      <w:pPr>
        <w:spacing w:line="500" w:lineRule="exact"/>
        <w:rPr>
          <w:rFonts w:asciiTheme="minorEastAsia" w:hAnsiTheme="minorEastAsia" w:eastAsiaTheme="minorEastAsia"/>
          <w:color w:val="000000"/>
        </w:rPr>
      </w:pPr>
    </w:p>
    <w:p w14:paraId="6998ACA3">
      <w:pPr>
        <w:spacing w:line="500" w:lineRule="exact"/>
        <w:rPr>
          <w:rFonts w:asciiTheme="minorEastAsia" w:hAnsiTheme="minorEastAsia" w:eastAsiaTheme="minorEastAsia"/>
          <w:bCs/>
          <w:color w:val="000000"/>
        </w:rPr>
      </w:pPr>
    </w:p>
    <w:p w14:paraId="32D6CA55">
      <w:pPr>
        <w:spacing w:line="500" w:lineRule="exact"/>
        <w:rPr>
          <w:rFonts w:asciiTheme="minorEastAsia" w:hAnsiTheme="minorEastAsia" w:eastAsiaTheme="minorEastAsia"/>
          <w:bCs/>
          <w:color w:val="000000"/>
        </w:rPr>
      </w:pPr>
    </w:p>
    <w:p w14:paraId="33BCF1EC">
      <w:pPr>
        <w:spacing w:line="500" w:lineRule="exact"/>
        <w:rPr>
          <w:rFonts w:asciiTheme="minorEastAsia" w:hAnsiTheme="minorEastAsia" w:eastAsiaTheme="minorEastAsia"/>
          <w:bCs/>
          <w:color w:val="000000"/>
        </w:rPr>
      </w:pPr>
    </w:p>
    <w:p w14:paraId="0F6F23E0">
      <w:pPr>
        <w:spacing w:line="460" w:lineRule="exact"/>
        <w:jc w:val="center"/>
        <w:rPr>
          <w:rFonts w:asciiTheme="minorEastAsia" w:hAnsiTheme="minorEastAsia" w:eastAsiaTheme="minorEastAsia"/>
          <w:bCs/>
          <w:color w:val="000000"/>
        </w:rPr>
      </w:pPr>
      <w:r>
        <w:rPr>
          <w:rFonts w:hint="eastAsia" w:asciiTheme="minorEastAsia" w:hAnsiTheme="minorEastAsia" w:eastAsiaTheme="minorEastAsia"/>
          <w:bCs/>
          <w:color w:val="000000"/>
        </w:rPr>
        <w:t xml:space="preserve">                                             承诺人名称（公章）：</w:t>
      </w:r>
    </w:p>
    <w:p w14:paraId="2927CB55">
      <w:pPr>
        <w:spacing w:line="460" w:lineRule="exact"/>
        <w:jc w:val="right"/>
        <w:rPr>
          <w:rFonts w:asciiTheme="minorEastAsia" w:hAnsiTheme="minorEastAsia" w:eastAsiaTheme="minorEastAsia"/>
          <w:bCs/>
          <w:color w:val="000000"/>
        </w:rPr>
      </w:pPr>
    </w:p>
    <w:p w14:paraId="3169F8B3">
      <w:pPr>
        <w:spacing w:line="460" w:lineRule="exact"/>
        <w:jc w:val="right"/>
        <w:rPr>
          <w:rFonts w:asciiTheme="minorEastAsia" w:hAnsiTheme="minorEastAsia" w:eastAsiaTheme="minorEastAsia"/>
          <w:bCs/>
          <w:color w:val="000000"/>
        </w:rPr>
      </w:pPr>
      <w:r>
        <w:rPr>
          <w:rFonts w:hint="eastAsia" w:asciiTheme="minorEastAsia" w:hAnsiTheme="minorEastAsia" w:eastAsiaTheme="minorEastAsia"/>
          <w:bCs/>
          <w:color w:val="000000"/>
        </w:rPr>
        <w:t xml:space="preserve">                                 日期： 年  月  日</w:t>
      </w:r>
    </w:p>
    <w:p w14:paraId="712D11B0">
      <w:pPr>
        <w:snapToGrid w:val="0"/>
        <w:spacing w:line="400" w:lineRule="exact"/>
        <w:ind w:firstLine="463" w:firstLineChars="192"/>
        <w:contextualSpacing/>
        <w:rPr>
          <w:rFonts w:cs="宋体" w:asciiTheme="minorEastAsia" w:hAnsiTheme="minorEastAsia" w:eastAsiaTheme="minorEastAsia"/>
          <w:b/>
          <w:kern w:val="0"/>
        </w:rPr>
      </w:pPr>
    </w:p>
    <w:p w14:paraId="4699CFF6">
      <w:pPr>
        <w:snapToGrid w:val="0"/>
        <w:spacing w:line="400" w:lineRule="exact"/>
        <w:ind w:firstLine="463" w:firstLineChars="192"/>
        <w:contextualSpacing/>
        <w:rPr>
          <w:rFonts w:cs="宋体" w:asciiTheme="minorEastAsia" w:hAnsiTheme="minorEastAsia" w:eastAsiaTheme="minorEastAsia"/>
          <w:b/>
          <w:kern w:val="0"/>
          <w:lang w:val="zh-CN"/>
        </w:rPr>
      </w:pPr>
    </w:p>
    <w:p w14:paraId="661B04EC">
      <w:pPr>
        <w:snapToGrid w:val="0"/>
        <w:spacing w:line="400" w:lineRule="exact"/>
        <w:contextualSpacing/>
        <w:rPr>
          <w:rFonts w:cs="宋体" w:asciiTheme="minorEastAsia" w:hAnsiTheme="minorEastAsia" w:eastAsiaTheme="minorEastAsia"/>
          <w:b/>
          <w:kern w:val="0"/>
          <w:lang w:val="zh-CN"/>
        </w:rPr>
      </w:pPr>
    </w:p>
    <w:p w14:paraId="40CE448A">
      <w:pPr>
        <w:pStyle w:val="2"/>
        <w:ind w:left="480" w:firstLine="0" w:firstLineChars="0"/>
        <w:rPr>
          <w:lang w:val="zh-CN"/>
        </w:rPr>
      </w:pPr>
    </w:p>
    <w:p w14:paraId="36E7E56D">
      <w:pPr>
        <w:pStyle w:val="2"/>
        <w:ind w:left="480" w:firstLine="0" w:firstLineChars="0"/>
        <w:rPr>
          <w:lang w:val="zh-CN"/>
        </w:rPr>
      </w:pPr>
    </w:p>
    <w:p w14:paraId="21090C43">
      <w:pPr>
        <w:pStyle w:val="2"/>
        <w:ind w:left="480" w:firstLine="0" w:firstLineChars="0"/>
        <w:rPr>
          <w:lang w:val="zh-CN"/>
        </w:rPr>
      </w:pPr>
    </w:p>
    <w:p w14:paraId="08004471">
      <w:pPr>
        <w:spacing w:line="560" w:lineRule="exact"/>
        <w:jc w:val="center"/>
        <w:rPr>
          <w:rFonts w:asciiTheme="minorEastAsia" w:hAnsiTheme="minorEastAsia" w:eastAsiaTheme="minorEastAsia"/>
          <w:b/>
          <w:bCs/>
        </w:rPr>
      </w:pPr>
      <w:r>
        <w:rPr>
          <w:rFonts w:hint="eastAsia" w:asciiTheme="minorEastAsia" w:hAnsiTheme="minorEastAsia" w:eastAsiaTheme="minorEastAsia"/>
          <w:b/>
          <w:bCs/>
        </w:rPr>
        <w:t>2、法定代表人身份证明</w:t>
      </w:r>
    </w:p>
    <w:p w14:paraId="28F421DB">
      <w:pPr>
        <w:spacing w:line="480" w:lineRule="exact"/>
        <w:rPr>
          <w:rFonts w:asciiTheme="minorEastAsia" w:hAnsiTheme="minorEastAsia" w:eastAsiaTheme="minorEastAsia"/>
        </w:rPr>
      </w:pPr>
    </w:p>
    <w:p w14:paraId="31AE46B3">
      <w:pPr>
        <w:spacing w:line="480" w:lineRule="exact"/>
        <w:rPr>
          <w:rFonts w:asciiTheme="minorEastAsia" w:hAnsiTheme="minorEastAsia" w:eastAsiaTheme="minorEastAsia"/>
        </w:rPr>
      </w:pPr>
      <w:r>
        <w:rPr>
          <w:rFonts w:hint="eastAsia" w:asciiTheme="minorEastAsia" w:hAnsiTheme="minorEastAsia" w:eastAsiaTheme="minorEastAsia"/>
        </w:rPr>
        <w:t>先生/女士：现任我单位职务，为法定代表人，特此证明。</w:t>
      </w:r>
    </w:p>
    <w:p w14:paraId="1F22EA91">
      <w:pPr>
        <w:spacing w:line="480" w:lineRule="exact"/>
        <w:ind w:firstLine="480"/>
        <w:rPr>
          <w:rFonts w:asciiTheme="minorEastAsia" w:hAnsiTheme="minorEastAsia" w:eastAsiaTheme="minorEastAsia"/>
          <w:u w:val="single"/>
        </w:rPr>
      </w:pPr>
      <w:r>
        <w:rPr>
          <w:rFonts w:hint="eastAsia" w:asciiTheme="minorEastAsia" w:hAnsiTheme="minorEastAsia" w:eastAsiaTheme="minorEastAsia"/>
        </w:rPr>
        <w:t>身份证号码：</w:t>
      </w:r>
    </w:p>
    <w:p w14:paraId="7FF3C8EF">
      <w:pPr>
        <w:spacing w:line="480" w:lineRule="exact"/>
        <w:ind w:firstLine="480"/>
        <w:rPr>
          <w:rFonts w:asciiTheme="minorEastAsia" w:hAnsiTheme="minorEastAsia" w:eastAsiaTheme="minorEastAsia"/>
        </w:rPr>
      </w:pPr>
    </w:p>
    <w:p w14:paraId="33F3E1AA">
      <w:pPr>
        <w:spacing w:line="600" w:lineRule="exact"/>
        <w:rPr>
          <w:rFonts w:asciiTheme="minorEastAsia" w:hAnsiTheme="minorEastAsia" w:eastAsiaTheme="minorEastAsia"/>
          <w:b/>
        </w:rPr>
      </w:pPr>
      <w:r>
        <w:rPr>
          <w:rFonts w:hint="eastAsia" w:asciiTheme="minorEastAsia" w:hAnsiTheme="minorEastAsia" w:eastAsiaTheme="minorEastAsia"/>
          <w:b/>
        </w:rPr>
        <w:t>注：提供法定代表人的身份证复印件盖公章</w:t>
      </w:r>
    </w:p>
    <w:p w14:paraId="2DEDFB8B">
      <w:pPr>
        <w:spacing w:line="480" w:lineRule="exact"/>
        <w:ind w:firstLine="480" w:firstLineChars="200"/>
        <w:rPr>
          <w:rFonts w:asciiTheme="minorEastAsia" w:hAnsiTheme="minorEastAsia" w:eastAsiaTheme="minorEastAsia"/>
        </w:rPr>
      </w:pPr>
    </w:p>
    <w:p w14:paraId="3B71D1E3">
      <w:pPr>
        <w:rPr>
          <w:rFonts w:asciiTheme="minorEastAsia" w:hAnsiTheme="minorEastAsia" w:eastAsiaTheme="minorEastAsia"/>
        </w:rPr>
      </w:pPr>
    </w:p>
    <w:p w14:paraId="051EB3E9">
      <w:pPr>
        <w:snapToGrid w:val="0"/>
        <w:spacing w:line="400" w:lineRule="exact"/>
        <w:ind w:firstLine="463" w:firstLineChars="192"/>
        <w:contextualSpacing/>
        <w:rPr>
          <w:rFonts w:cs="宋体" w:asciiTheme="minorEastAsia" w:hAnsiTheme="minorEastAsia" w:eastAsiaTheme="minorEastAsia"/>
          <w:b/>
          <w:kern w:val="0"/>
        </w:rPr>
      </w:pPr>
    </w:p>
    <w:p w14:paraId="0DA5FAC7">
      <w:pPr>
        <w:snapToGrid w:val="0"/>
        <w:spacing w:line="400" w:lineRule="exact"/>
        <w:ind w:firstLine="463" w:firstLineChars="192"/>
        <w:contextualSpacing/>
        <w:rPr>
          <w:rFonts w:cs="宋体" w:asciiTheme="minorEastAsia" w:hAnsiTheme="minorEastAsia" w:eastAsiaTheme="minorEastAsia"/>
          <w:b/>
          <w:kern w:val="0"/>
          <w:lang w:val="zh-CN"/>
        </w:rPr>
      </w:pPr>
    </w:p>
    <w:p w14:paraId="226AE1D1">
      <w:pPr>
        <w:snapToGrid w:val="0"/>
        <w:spacing w:line="400" w:lineRule="exact"/>
        <w:ind w:firstLine="463" w:firstLineChars="192"/>
        <w:contextualSpacing/>
        <w:rPr>
          <w:rFonts w:cs="宋体" w:asciiTheme="minorEastAsia" w:hAnsiTheme="minorEastAsia" w:eastAsiaTheme="minorEastAsia"/>
          <w:b/>
          <w:kern w:val="0"/>
          <w:lang w:val="zh-CN"/>
        </w:rPr>
      </w:pPr>
    </w:p>
    <w:p w14:paraId="01C09FF7">
      <w:pPr>
        <w:snapToGrid w:val="0"/>
        <w:spacing w:line="400" w:lineRule="exact"/>
        <w:ind w:firstLine="463" w:firstLineChars="192"/>
        <w:contextualSpacing/>
        <w:rPr>
          <w:rFonts w:cs="宋体" w:asciiTheme="minorEastAsia" w:hAnsiTheme="minorEastAsia" w:eastAsiaTheme="minorEastAsia"/>
          <w:b/>
          <w:kern w:val="0"/>
          <w:lang w:val="zh-CN"/>
        </w:rPr>
      </w:pPr>
    </w:p>
    <w:p w14:paraId="724B3A10">
      <w:pPr>
        <w:snapToGrid w:val="0"/>
        <w:spacing w:line="400" w:lineRule="exact"/>
        <w:ind w:firstLine="463" w:firstLineChars="192"/>
        <w:contextualSpacing/>
        <w:rPr>
          <w:rFonts w:cs="宋体" w:asciiTheme="minorEastAsia" w:hAnsiTheme="minorEastAsia" w:eastAsiaTheme="minorEastAsia"/>
          <w:b/>
          <w:kern w:val="0"/>
          <w:lang w:val="zh-CN"/>
        </w:rPr>
      </w:pPr>
    </w:p>
    <w:p w14:paraId="7F84B42D">
      <w:pPr>
        <w:snapToGrid w:val="0"/>
        <w:spacing w:line="400" w:lineRule="exact"/>
        <w:ind w:firstLine="463" w:firstLineChars="192"/>
        <w:contextualSpacing/>
        <w:rPr>
          <w:rFonts w:cs="宋体" w:asciiTheme="minorEastAsia" w:hAnsiTheme="minorEastAsia" w:eastAsiaTheme="minorEastAsia"/>
          <w:b/>
          <w:kern w:val="0"/>
          <w:lang w:val="zh-CN"/>
        </w:rPr>
      </w:pPr>
    </w:p>
    <w:p w14:paraId="4F4DFA1D">
      <w:pPr>
        <w:snapToGrid w:val="0"/>
        <w:spacing w:line="400" w:lineRule="exact"/>
        <w:ind w:firstLine="463" w:firstLineChars="192"/>
        <w:contextualSpacing/>
        <w:rPr>
          <w:rFonts w:cs="宋体" w:asciiTheme="minorEastAsia" w:hAnsiTheme="minorEastAsia" w:eastAsiaTheme="minorEastAsia"/>
          <w:b/>
          <w:kern w:val="0"/>
          <w:lang w:val="zh-CN"/>
        </w:rPr>
      </w:pPr>
    </w:p>
    <w:p w14:paraId="51FB8757">
      <w:pPr>
        <w:snapToGrid w:val="0"/>
        <w:spacing w:line="400" w:lineRule="exact"/>
        <w:ind w:firstLine="463" w:firstLineChars="192"/>
        <w:contextualSpacing/>
        <w:rPr>
          <w:rFonts w:cs="宋体" w:asciiTheme="minorEastAsia" w:hAnsiTheme="minorEastAsia" w:eastAsiaTheme="minorEastAsia"/>
          <w:b/>
          <w:kern w:val="0"/>
          <w:lang w:val="zh-CN"/>
        </w:rPr>
      </w:pPr>
    </w:p>
    <w:p w14:paraId="0C3BBAFD">
      <w:pPr>
        <w:snapToGrid w:val="0"/>
        <w:spacing w:line="400" w:lineRule="exact"/>
        <w:ind w:firstLine="463" w:firstLineChars="192"/>
        <w:contextualSpacing/>
        <w:rPr>
          <w:rFonts w:cs="宋体" w:asciiTheme="minorEastAsia" w:hAnsiTheme="minorEastAsia" w:eastAsiaTheme="minorEastAsia"/>
          <w:b/>
          <w:kern w:val="0"/>
          <w:lang w:val="zh-CN"/>
        </w:rPr>
      </w:pPr>
    </w:p>
    <w:p w14:paraId="32589B1A">
      <w:pPr>
        <w:snapToGrid w:val="0"/>
        <w:spacing w:line="400" w:lineRule="exact"/>
        <w:ind w:firstLine="463" w:firstLineChars="192"/>
        <w:contextualSpacing/>
        <w:rPr>
          <w:rFonts w:cs="宋体" w:asciiTheme="minorEastAsia" w:hAnsiTheme="minorEastAsia" w:eastAsiaTheme="minorEastAsia"/>
          <w:b/>
          <w:kern w:val="0"/>
          <w:lang w:val="zh-CN"/>
        </w:rPr>
      </w:pPr>
    </w:p>
    <w:p w14:paraId="68A8CCF5">
      <w:pPr>
        <w:snapToGrid w:val="0"/>
        <w:spacing w:line="400" w:lineRule="exact"/>
        <w:ind w:firstLine="463" w:firstLineChars="192"/>
        <w:contextualSpacing/>
        <w:rPr>
          <w:rFonts w:cs="宋体" w:asciiTheme="minorEastAsia" w:hAnsiTheme="minorEastAsia" w:eastAsiaTheme="minorEastAsia"/>
          <w:b/>
          <w:kern w:val="0"/>
          <w:lang w:val="zh-CN"/>
        </w:rPr>
      </w:pPr>
    </w:p>
    <w:p w14:paraId="02FA8CAB">
      <w:pPr>
        <w:snapToGrid w:val="0"/>
        <w:spacing w:line="400" w:lineRule="exact"/>
        <w:ind w:firstLine="463" w:firstLineChars="192"/>
        <w:contextualSpacing/>
        <w:rPr>
          <w:rFonts w:cs="宋体" w:asciiTheme="minorEastAsia" w:hAnsiTheme="minorEastAsia" w:eastAsiaTheme="minorEastAsia"/>
          <w:b/>
          <w:kern w:val="0"/>
          <w:lang w:val="zh-CN"/>
        </w:rPr>
      </w:pPr>
    </w:p>
    <w:p w14:paraId="06FD3233">
      <w:pPr>
        <w:snapToGrid w:val="0"/>
        <w:spacing w:line="400" w:lineRule="exact"/>
        <w:ind w:firstLine="463" w:firstLineChars="192"/>
        <w:contextualSpacing/>
        <w:rPr>
          <w:rFonts w:cs="宋体" w:asciiTheme="minorEastAsia" w:hAnsiTheme="minorEastAsia" w:eastAsiaTheme="minorEastAsia"/>
          <w:b/>
          <w:kern w:val="0"/>
          <w:lang w:val="zh-CN"/>
        </w:rPr>
      </w:pPr>
    </w:p>
    <w:p w14:paraId="056EB084">
      <w:pPr>
        <w:snapToGrid w:val="0"/>
        <w:spacing w:line="400" w:lineRule="exact"/>
        <w:ind w:firstLine="463" w:firstLineChars="192"/>
        <w:contextualSpacing/>
        <w:rPr>
          <w:rFonts w:cs="宋体" w:asciiTheme="minorEastAsia" w:hAnsiTheme="minorEastAsia" w:eastAsiaTheme="minorEastAsia"/>
          <w:b/>
          <w:kern w:val="0"/>
          <w:lang w:val="zh-CN"/>
        </w:rPr>
      </w:pPr>
    </w:p>
    <w:p w14:paraId="03B9EDAA">
      <w:pPr>
        <w:snapToGrid w:val="0"/>
        <w:spacing w:line="400" w:lineRule="exact"/>
        <w:ind w:firstLine="463" w:firstLineChars="192"/>
        <w:contextualSpacing/>
        <w:rPr>
          <w:rFonts w:cs="宋体" w:asciiTheme="minorEastAsia" w:hAnsiTheme="minorEastAsia" w:eastAsiaTheme="minorEastAsia"/>
          <w:b/>
          <w:kern w:val="0"/>
          <w:lang w:val="zh-CN"/>
        </w:rPr>
      </w:pPr>
    </w:p>
    <w:p w14:paraId="49739B90">
      <w:pPr>
        <w:snapToGrid w:val="0"/>
        <w:spacing w:line="400" w:lineRule="exact"/>
        <w:ind w:firstLine="463" w:firstLineChars="192"/>
        <w:contextualSpacing/>
        <w:rPr>
          <w:rFonts w:cs="宋体" w:asciiTheme="minorEastAsia" w:hAnsiTheme="minorEastAsia" w:eastAsiaTheme="minorEastAsia"/>
          <w:b/>
          <w:kern w:val="0"/>
          <w:lang w:val="zh-CN"/>
        </w:rPr>
      </w:pPr>
    </w:p>
    <w:p w14:paraId="012E2859">
      <w:pPr>
        <w:snapToGrid w:val="0"/>
        <w:spacing w:line="400" w:lineRule="exact"/>
        <w:ind w:firstLine="463" w:firstLineChars="192"/>
        <w:contextualSpacing/>
        <w:rPr>
          <w:rFonts w:cs="宋体" w:asciiTheme="minorEastAsia" w:hAnsiTheme="minorEastAsia" w:eastAsiaTheme="minorEastAsia"/>
          <w:b/>
          <w:kern w:val="0"/>
          <w:lang w:val="zh-CN"/>
        </w:rPr>
      </w:pPr>
    </w:p>
    <w:p w14:paraId="7C17EB70">
      <w:pPr>
        <w:snapToGrid w:val="0"/>
        <w:spacing w:line="400" w:lineRule="exact"/>
        <w:ind w:firstLine="463" w:firstLineChars="192"/>
        <w:contextualSpacing/>
        <w:rPr>
          <w:rFonts w:cs="宋体" w:asciiTheme="minorEastAsia" w:hAnsiTheme="minorEastAsia" w:eastAsiaTheme="minorEastAsia"/>
          <w:b/>
          <w:kern w:val="0"/>
          <w:lang w:val="zh-CN"/>
        </w:rPr>
      </w:pPr>
    </w:p>
    <w:p w14:paraId="67F33732">
      <w:pPr>
        <w:snapToGrid w:val="0"/>
        <w:spacing w:line="400" w:lineRule="exact"/>
        <w:ind w:firstLine="463" w:firstLineChars="192"/>
        <w:contextualSpacing/>
        <w:rPr>
          <w:rFonts w:cs="宋体" w:asciiTheme="minorEastAsia" w:hAnsiTheme="minorEastAsia" w:eastAsiaTheme="minorEastAsia"/>
          <w:b/>
          <w:kern w:val="0"/>
          <w:lang w:val="zh-CN"/>
        </w:rPr>
      </w:pPr>
    </w:p>
    <w:p w14:paraId="1F352763">
      <w:pPr>
        <w:snapToGrid w:val="0"/>
        <w:spacing w:line="400" w:lineRule="exact"/>
        <w:ind w:firstLine="463" w:firstLineChars="192"/>
        <w:contextualSpacing/>
        <w:rPr>
          <w:rFonts w:cs="宋体" w:asciiTheme="minorEastAsia" w:hAnsiTheme="minorEastAsia" w:eastAsiaTheme="minorEastAsia"/>
          <w:b/>
          <w:kern w:val="0"/>
          <w:lang w:val="zh-CN"/>
        </w:rPr>
      </w:pPr>
    </w:p>
    <w:p w14:paraId="505726AC">
      <w:pPr>
        <w:snapToGrid w:val="0"/>
        <w:spacing w:line="400" w:lineRule="exact"/>
        <w:ind w:firstLine="463" w:firstLineChars="192"/>
        <w:contextualSpacing/>
        <w:rPr>
          <w:rFonts w:cs="宋体" w:asciiTheme="minorEastAsia" w:hAnsiTheme="minorEastAsia" w:eastAsiaTheme="minorEastAsia"/>
          <w:b/>
          <w:kern w:val="0"/>
          <w:lang w:val="zh-CN"/>
        </w:rPr>
      </w:pPr>
    </w:p>
    <w:p w14:paraId="7497B4A0">
      <w:pPr>
        <w:snapToGrid w:val="0"/>
        <w:spacing w:line="400" w:lineRule="exact"/>
        <w:ind w:firstLine="463" w:firstLineChars="192"/>
        <w:contextualSpacing/>
        <w:rPr>
          <w:rFonts w:cs="宋体" w:asciiTheme="minorEastAsia" w:hAnsiTheme="minorEastAsia" w:eastAsiaTheme="minorEastAsia"/>
          <w:b/>
          <w:kern w:val="0"/>
          <w:lang w:val="zh-CN"/>
        </w:rPr>
      </w:pPr>
    </w:p>
    <w:p w14:paraId="1FD44FE5">
      <w:pPr>
        <w:snapToGrid w:val="0"/>
        <w:spacing w:line="400" w:lineRule="exact"/>
        <w:ind w:firstLine="463" w:firstLineChars="192"/>
        <w:contextualSpacing/>
        <w:rPr>
          <w:rFonts w:cs="宋体" w:asciiTheme="minorEastAsia" w:hAnsiTheme="minorEastAsia" w:eastAsiaTheme="minorEastAsia"/>
          <w:b/>
          <w:kern w:val="0"/>
          <w:lang w:val="zh-CN"/>
        </w:rPr>
      </w:pPr>
    </w:p>
    <w:p w14:paraId="6174059F">
      <w:pPr>
        <w:jc w:val="center"/>
        <w:rPr>
          <w:rFonts w:ascii="Calibri" w:hAnsi="Calibri" w:eastAsia="宋体" w:cs="Calibri"/>
          <w:lang w:val="zh-CN"/>
        </w:rPr>
      </w:pPr>
    </w:p>
    <w:p w14:paraId="6E7714DD">
      <w:pPr>
        <w:pStyle w:val="2"/>
        <w:ind w:left="480" w:firstLine="480"/>
        <w:rPr>
          <w:lang w:val="zh-CN"/>
        </w:rPr>
      </w:pPr>
    </w:p>
    <w:p w14:paraId="12D61627">
      <w:pPr>
        <w:spacing w:line="560" w:lineRule="exact"/>
        <w:jc w:val="center"/>
        <w:rPr>
          <w:rFonts w:asciiTheme="minorEastAsia" w:hAnsiTheme="minorEastAsia" w:eastAsiaTheme="minorEastAsia"/>
          <w:b/>
          <w:bCs/>
        </w:rPr>
      </w:pPr>
      <w:r>
        <w:rPr>
          <w:rFonts w:hint="eastAsia" w:asciiTheme="minorEastAsia" w:hAnsiTheme="minorEastAsia" w:eastAsiaTheme="minorEastAsia"/>
          <w:b/>
          <w:bCs/>
        </w:rPr>
        <w:t>3、法定代表人授权委托书</w:t>
      </w:r>
    </w:p>
    <w:p w14:paraId="322E9A62">
      <w:pPr>
        <w:rPr>
          <w:rFonts w:asciiTheme="minorEastAsia" w:hAnsiTheme="minorEastAsia" w:eastAsiaTheme="minorEastAsia"/>
        </w:rPr>
      </w:pPr>
    </w:p>
    <w:p w14:paraId="22D0C69B">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本人</w:t>
      </w:r>
      <w:r>
        <w:rPr>
          <w:rFonts w:hint="eastAsia" w:asciiTheme="minorEastAsia" w:hAnsiTheme="minorEastAsia" w:eastAsiaTheme="minorEastAsia"/>
          <w:u w:val="single"/>
        </w:rPr>
        <w:t>（姓名）</w:t>
      </w:r>
      <w:r>
        <w:rPr>
          <w:rFonts w:hint="eastAsia" w:asciiTheme="minorEastAsia" w:hAnsiTheme="minorEastAsia" w:eastAsiaTheme="minorEastAsia"/>
        </w:rPr>
        <w:t>系</w:t>
      </w:r>
      <w:r>
        <w:rPr>
          <w:rFonts w:hint="eastAsia" w:asciiTheme="minorEastAsia" w:hAnsiTheme="minorEastAsia" w:eastAsiaTheme="minorEastAsia"/>
          <w:u w:val="single"/>
        </w:rPr>
        <w:t xml:space="preserve">       （授权单位名称）</w:t>
      </w:r>
      <w:r>
        <w:rPr>
          <w:rFonts w:hint="eastAsia" w:asciiTheme="minorEastAsia" w:hAnsiTheme="minorEastAsia" w:eastAsiaTheme="minorEastAsia"/>
        </w:rPr>
        <w:t>的法定代表人，现委托-------</w:t>
      </w:r>
      <w:r>
        <w:rPr>
          <w:rFonts w:hint="eastAsia" w:asciiTheme="minorEastAsia" w:hAnsiTheme="minorEastAsia" w:eastAsiaTheme="minorEastAsia"/>
          <w:u w:val="single"/>
        </w:rPr>
        <w:t>（姓名）</w:t>
      </w:r>
      <w:r>
        <w:rPr>
          <w:rFonts w:hint="eastAsia" w:asciiTheme="minorEastAsia" w:hAnsiTheme="minorEastAsia" w:eastAsiaTheme="minorEastAsia"/>
        </w:rPr>
        <w:t>（身份证号</w:t>
      </w:r>
      <w:r>
        <w:rPr>
          <w:rFonts w:hint="eastAsia" w:asciiTheme="minorEastAsia" w:hAnsiTheme="minorEastAsia" w:eastAsiaTheme="minorEastAsia"/>
          <w:u w:val="single"/>
        </w:rPr>
        <w:t>——————</w:t>
      </w:r>
      <w:r>
        <w:rPr>
          <w:rFonts w:hint="eastAsia" w:asciiTheme="minorEastAsia" w:hAnsiTheme="minorEastAsia" w:eastAsiaTheme="minorEastAsia"/>
        </w:rPr>
        <w:t>）为我方代理人，以我方名义全权处理与本次采购项目（编号：）有关的一切事务，其法律后果由我方承担。</w:t>
      </w:r>
    </w:p>
    <w:p w14:paraId="2AF7523E">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本授权书于</w:t>
      </w:r>
      <w:r>
        <w:rPr>
          <w:rFonts w:hint="eastAsia" w:asciiTheme="minorEastAsia" w:hAnsiTheme="minorEastAsia" w:eastAsiaTheme="minorEastAsia"/>
          <w:u w:val="single"/>
        </w:rPr>
        <w:t xml:space="preserve">     年    月    日</w:t>
      </w:r>
      <w:r>
        <w:rPr>
          <w:rFonts w:hint="eastAsia" w:asciiTheme="minorEastAsia" w:hAnsiTheme="minorEastAsia" w:eastAsiaTheme="minorEastAsia"/>
        </w:rPr>
        <w:t>起生效。代理人无转委托权。</w:t>
      </w:r>
    </w:p>
    <w:p w14:paraId="4F8D576F">
      <w:pPr>
        <w:spacing w:line="360" w:lineRule="auto"/>
        <w:ind w:firstLine="360" w:firstLineChars="150"/>
        <w:rPr>
          <w:rFonts w:asciiTheme="minorEastAsia" w:hAnsiTheme="minorEastAsia" w:eastAsiaTheme="minorEastAsia"/>
        </w:rPr>
      </w:pPr>
      <w:r>
        <w:rPr>
          <w:rFonts w:hint="eastAsia" w:asciiTheme="minorEastAsia" w:hAnsiTheme="minorEastAsia" w:eastAsiaTheme="minorEastAsia"/>
        </w:rPr>
        <w:t>代理人(被授权人):</w:t>
      </w:r>
    </w:p>
    <w:p w14:paraId="69878362">
      <w:pPr>
        <w:spacing w:line="360" w:lineRule="auto"/>
        <w:ind w:firstLine="360" w:firstLineChars="150"/>
        <w:rPr>
          <w:rFonts w:asciiTheme="minorEastAsia" w:hAnsiTheme="minorEastAsia" w:eastAsiaTheme="minorEastAsia"/>
          <w:u w:val="single"/>
        </w:rPr>
      </w:pPr>
      <w:r>
        <w:rPr>
          <w:rFonts w:hint="eastAsia" w:asciiTheme="minorEastAsia" w:hAnsiTheme="minorEastAsia" w:eastAsiaTheme="minorEastAsia"/>
        </w:rPr>
        <w:t>授权单位名称（盖章）：</w:t>
      </w:r>
    </w:p>
    <w:p w14:paraId="6C200B2B">
      <w:pPr>
        <w:spacing w:line="360" w:lineRule="auto"/>
        <w:ind w:firstLine="360" w:firstLineChars="150"/>
        <w:rPr>
          <w:rFonts w:asciiTheme="minorEastAsia" w:hAnsiTheme="minorEastAsia" w:eastAsiaTheme="minorEastAsia"/>
          <w:u w:val="single"/>
        </w:rPr>
      </w:pPr>
      <w:r>
        <w:rPr>
          <w:rFonts w:hint="eastAsia" w:asciiTheme="minorEastAsia" w:hAnsiTheme="minorEastAsia" w:eastAsiaTheme="minorEastAsia"/>
        </w:rPr>
        <w:t>授权单位法定代表人（签字或盖章）：</w:t>
      </w:r>
    </w:p>
    <w:p w14:paraId="2E82FEF8">
      <w:pPr>
        <w:spacing w:line="360" w:lineRule="auto"/>
        <w:jc w:val="right"/>
        <w:rPr>
          <w:rFonts w:asciiTheme="minorEastAsia" w:hAnsiTheme="minorEastAsia" w:eastAsiaTheme="minorEastAsia"/>
        </w:rPr>
      </w:pPr>
    </w:p>
    <w:p w14:paraId="5DBC768F">
      <w:pPr>
        <w:spacing w:line="360" w:lineRule="auto"/>
        <w:jc w:val="right"/>
        <w:rPr>
          <w:rFonts w:asciiTheme="minorEastAsia" w:hAnsiTheme="minorEastAsia" w:eastAsiaTheme="minorEastAsia"/>
        </w:rPr>
      </w:pPr>
      <w:r>
        <w:rPr>
          <w:rFonts w:hint="eastAsia" w:asciiTheme="minorEastAsia" w:hAnsiTheme="minorEastAsia" w:eastAsiaTheme="minorEastAsia"/>
        </w:rPr>
        <w:t xml:space="preserve">  年   月   日</w:t>
      </w:r>
    </w:p>
    <w:p w14:paraId="028A9944">
      <w:pPr>
        <w:snapToGrid w:val="0"/>
        <w:spacing w:line="400" w:lineRule="exact"/>
        <w:ind w:firstLine="463" w:firstLineChars="192"/>
        <w:contextualSpacing/>
        <w:rPr>
          <w:rFonts w:cs="宋体" w:asciiTheme="minorEastAsia" w:hAnsiTheme="minorEastAsia" w:eastAsiaTheme="minorEastAsia"/>
          <w:b/>
          <w:kern w:val="0"/>
        </w:rPr>
      </w:pPr>
    </w:p>
    <w:p w14:paraId="5CC2371B">
      <w:pPr>
        <w:snapToGrid w:val="0"/>
        <w:spacing w:line="400" w:lineRule="exact"/>
        <w:ind w:firstLine="463" w:firstLineChars="192"/>
        <w:contextualSpacing/>
        <w:rPr>
          <w:rFonts w:cs="宋体" w:asciiTheme="minorEastAsia" w:hAnsiTheme="minorEastAsia" w:eastAsiaTheme="minorEastAsia"/>
          <w:b/>
          <w:kern w:val="0"/>
        </w:rPr>
      </w:pPr>
      <w:r>
        <w:rPr>
          <w:rFonts w:hint="eastAsia" w:cs="宋体" w:asciiTheme="minorEastAsia" w:hAnsiTheme="minorEastAsia" w:eastAsiaTheme="minorEastAsia"/>
          <w:b/>
          <w:kern w:val="0"/>
        </w:rPr>
        <w:t>注：提供谈判</w:t>
      </w:r>
      <w:r>
        <w:rPr>
          <w:rFonts w:cs="宋体" w:asciiTheme="minorEastAsia" w:hAnsiTheme="minorEastAsia" w:eastAsiaTheme="minorEastAsia"/>
          <w:b/>
          <w:kern w:val="0"/>
        </w:rPr>
        <w:t>代表本人身份证复印件</w:t>
      </w:r>
      <w:r>
        <w:rPr>
          <w:rFonts w:hint="eastAsia" w:cs="宋体" w:asciiTheme="minorEastAsia" w:hAnsiTheme="minorEastAsia" w:eastAsiaTheme="minorEastAsia"/>
          <w:b/>
          <w:kern w:val="0"/>
        </w:rPr>
        <w:t>盖公章</w:t>
      </w:r>
    </w:p>
    <w:p w14:paraId="5C4F5BD2">
      <w:pPr>
        <w:snapToGrid w:val="0"/>
        <w:spacing w:line="400" w:lineRule="exact"/>
        <w:ind w:firstLine="463" w:firstLineChars="192"/>
        <w:contextualSpacing/>
        <w:rPr>
          <w:rFonts w:cs="宋体" w:asciiTheme="minorEastAsia" w:hAnsiTheme="minorEastAsia" w:eastAsiaTheme="minorEastAsia"/>
          <w:b/>
          <w:kern w:val="0"/>
        </w:rPr>
      </w:pPr>
    </w:p>
    <w:p w14:paraId="464B1B2F">
      <w:pPr>
        <w:snapToGrid w:val="0"/>
        <w:spacing w:line="400" w:lineRule="exact"/>
        <w:ind w:firstLine="463" w:firstLineChars="192"/>
        <w:contextualSpacing/>
        <w:rPr>
          <w:rFonts w:cs="宋体" w:asciiTheme="minorEastAsia" w:hAnsiTheme="minorEastAsia" w:eastAsiaTheme="minorEastAsia"/>
          <w:b/>
          <w:kern w:val="0"/>
        </w:rPr>
      </w:pPr>
    </w:p>
    <w:p w14:paraId="58CCB3D3">
      <w:pPr>
        <w:snapToGrid w:val="0"/>
        <w:spacing w:line="400" w:lineRule="exact"/>
        <w:ind w:firstLine="463" w:firstLineChars="192"/>
        <w:contextualSpacing/>
        <w:rPr>
          <w:rFonts w:cs="宋体" w:asciiTheme="minorEastAsia" w:hAnsiTheme="minorEastAsia" w:eastAsiaTheme="minorEastAsia"/>
          <w:b/>
          <w:kern w:val="0"/>
        </w:rPr>
      </w:pPr>
    </w:p>
    <w:p w14:paraId="0730FC31">
      <w:pPr>
        <w:snapToGrid w:val="0"/>
        <w:spacing w:line="400" w:lineRule="exact"/>
        <w:ind w:firstLine="463" w:firstLineChars="192"/>
        <w:contextualSpacing/>
        <w:rPr>
          <w:rFonts w:cs="宋体" w:asciiTheme="minorEastAsia" w:hAnsiTheme="minorEastAsia" w:eastAsiaTheme="minorEastAsia"/>
          <w:b/>
          <w:kern w:val="0"/>
        </w:rPr>
      </w:pPr>
    </w:p>
    <w:p w14:paraId="57DF9A2F">
      <w:pPr>
        <w:snapToGrid w:val="0"/>
        <w:spacing w:line="400" w:lineRule="exact"/>
        <w:ind w:firstLine="463" w:firstLineChars="192"/>
        <w:contextualSpacing/>
        <w:rPr>
          <w:rFonts w:cs="宋体" w:asciiTheme="minorEastAsia" w:hAnsiTheme="minorEastAsia" w:eastAsiaTheme="minorEastAsia"/>
          <w:b/>
          <w:kern w:val="0"/>
        </w:rPr>
      </w:pPr>
    </w:p>
    <w:p w14:paraId="3120545E">
      <w:pPr>
        <w:snapToGrid w:val="0"/>
        <w:spacing w:line="400" w:lineRule="exact"/>
        <w:ind w:firstLine="463" w:firstLineChars="192"/>
        <w:contextualSpacing/>
        <w:rPr>
          <w:rFonts w:cs="宋体" w:asciiTheme="minorEastAsia" w:hAnsiTheme="minorEastAsia" w:eastAsiaTheme="minorEastAsia"/>
          <w:b/>
          <w:kern w:val="0"/>
        </w:rPr>
      </w:pPr>
    </w:p>
    <w:p w14:paraId="7F60F0C0">
      <w:pPr>
        <w:snapToGrid w:val="0"/>
        <w:spacing w:line="400" w:lineRule="exact"/>
        <w:ind w:firstLine="463" w:firstLineChars="192"/>
        <w:contextualSpacing/>
        <w:rPr>
          <w:rFonts w:cs="宋体" w:asciiTheme="minorEastAsia" w:hAnsiTheme="minorEastAsia" w:eastAsiaTheme="minorEastAsia"/>
          <w:b/>
          <w:kern w:val="0"/>
        </w:rPr>
      </w:pPr>
    </w:p>
    <w:p w14:paraId="4E2F054A">
      <w:pPr>
        <w:snapToGrid w:val="0"/>
        <w:spacing w:line="400" w:lineRule="exact"/>
        <w:ind w:firstLine="460" w:firstLineChars="192"/>
        <w:contextualSpacing/>
        <w:rPr>
          <w:rFonts w:asciiTheme="minorEastAsia" w:hAnsiTheme="minorEastAsia" w:eastAsiaTheme="minorEastAsia"/>
        </w:rPr>
      </w:pPr>
    </w:p>
    <w:p w14:paraId="74662178">
      <w:pPr>
        <w:snapToGrid w:val="0"/>
        <w:spacing w:line="400" w:lineRule="exact"/>
        <w:ind w:firstLine="463" w:firstLineChars="192"/>
        <w:contextualSpacing/>
        <w:rPr>
          <w:rFonts w:cs="宋体" w:asciiTheme="minorEastAsia" w:hAnsiTheme="minorEastAsia" w:eastAsiaTheme="minorEastAsia"/>
          <w:b/>
          <w:kern w:val="0"/>
        </w:rPr>
      </w:pPr>
    </w:p>
    <w:p w14:paraId="6322D043">
      <w:pPr>
        <w:snapToGrid w:val="0"/>
        <w:spacing w:line="400" w:lineRule="exact"/>
        <w:ind w:firstLine="463" w:firstLineChars="192"/>
        <w:contextualSpacing/>
        <w:rPr>
          <w:rFonts w:cs="宋体" w:asciiTheme="minorEastAsia" w:hAnsiTheme="minorEastAsia" w:eastAsiaTheme="minorEastAsia"/>
          <w:b/>
          <w:kern w:val="0"/>
        </w:rPr>
      </w:pPr>
    </w:p>
    <w:p w14:paraId="05BC7467">
      <w:pPr>
        <w:snapToGrid w:val="0"/>
        <w:spacing w:line="400" w:lineRule="exact"/>
        <w:ind w:firstLine="463" w:firstLineChars="192"/>
        <w:contextualSpacing/>
        <w:rPr>
          <w:rFonts w:cs="宋体" w:asciiTheme="minorEastAsia" w:hAnsiTheme="minorEastAsia" w:eastAsiaTheme="minorEastAsia"/>
          <w:b/>
          <w:kern w:val="0"/>
        </w:rPr>
      </w:pPr>
    </w:p>
    <w:p w14:paraId="0B632840">
      <w:pPr>
        <w:snapToGrid w:val="0"/>
        <w:spacing w:line="400" w:lineRule="exact"/>
        <w:ind w:firstLine="463" w:firstLineChars="192"/>
        <w:contextualSpacing/>
        <w:rPr>
          <w:rFonts w:cs="宋体" w:asciiTheme="minorEastAsia" w:hAnsiTheme="minorEastAsia" w:eastAsiaTheme="minorEastAsia"/>
          <w:b/>
          <w:kern w:val="0"/>
        </w:rPr>
      </w:pPr>
    </w:p>
    <w:p w14:paraId="35FB7889">
      <w:pPr>
        <w:snapToGrid w:val="0"/>
        <w:spacing w:line="400" w:lineRule="exact"/>
        <w:ind w:firstLine="463" w:firstLineChars="192"/>
        <w:contextualSpacing/>
        <w:rPr>
          <w:rFonts w:cs="宋体" w:asciiTheme="minorEastAsia" w:hAnsiTheme="minorEastAsia" w:eastAsiaTheme="minorEastAsia"/>
          <w:b/>
          <w:kern w:val="0"/>
        </w:rPr>
      </w:pPr>
    </w:p>
    <w:p w14:paraId="1C621EB8">
      <w:pPr>
        <w:snapToGrid w:val="0"/>
        <w:spacing w:line="400" w:lineRule="exact"/>
        <w:ind w:firstLine="463" w:firstLineChars="192"/>
        <w:contextualSpacing/>
        <w:rPr>
          <w:rFonts w:cs="宋体" w:asciiTheme="minorEastAsia" w:hAnsiTheme="minorEastAsia" w:eastAsiaTheme="minorEastAsia"/>
          <w:b/>
          <w:kern w:val="0"/>
        </w:rPr>
      </w:pPr>
    </w:p>
    <w:p w14:paraId="202B4883">
      <w:pPr>
        <w:snapToGrid w:val="0"/>
        <w:spacing w:line="400" w:lineRule="exact"/>
        <w:ind w:firstLine="463" w:firstLineChars="192"/>
        <w:contextualSpacing/>
        <w:rPr>
          <w:rFonts w:cs="宋体" w:asciiTheme="minorEastAsia" w:hAnsiTheme="minorEastAsia" w:eastAsiaTheme="minorEastAsia"/>
          <w:b/>
          <w:kern w:val="0"/>
        </w:rPr>
      </w:pPr>
    </w:p>
    <w:p w14:paraId="096F265A">
      <w:pPr>
        <w:snapToGrid w:val="0"/>
        <w:spacing w:line="400" w:lineRule="exact"/>
        <w:contextualSpacing/>
        <w:rPr>
          <w:rFonts w:cs="宋体" w:asciiTheme="minorEastAsia" w:hAnsiTheme="minorEastAsia" w:eastAsiaTheme="minorEastAsia"/>
          <w:b/>
          <w:kern w:val="0"/>
        </w:rPr>
      </w:pPr>
    </w:p>
    <w:p w14:paraId="32FB91CE">
      <w:pPr>
        <w:pStyle w:val="2"/>
        <w:ind w:left="480" w:firstLine="480"/>
      </w:pPr>
    </w:p>
    <w:p w14:paraId="6F0CFB4D">
      <w:pPr>
        <w:pStyle w:val="2"/>
        <w:ind w:left="480" w:firstLine="480"/>
      </w:pPr>
    </w:p>
    <w:p w14:paraId="07EDE6D6">
      <w:pPr>
        <w:spacing w:before="240" w:line="312" w:lineRule="auto"/>
        <w:ind w:firstLine="3012" w:firstLineChars="1250"/>
        <w:rPr>
          <w:rFonts w:asciiTheme="minorEastAsia" w:hAnsiTheme="minorEastAsia" w:eastAsiaTheme="minorEastAsia"/>
          <w:b/>
        </w:rPr>
      </w:pPr>
      <w:r>
        <w:rPr>
          <w:rFonts w:hint="eastAsia" w:asciiTheme="minorEastAsia" w:hAnsiTheme="minorEastAsia" w:eastAsiaTheme="minorEastAsia"/>
          <w:b/>
          <w:kern w:val="0"/>
          <w:lang w:val="zh-CN"/>
        </w:rPr>
        <w:t>4、</w:t>
      </w:r>
      <w:r>
        <w:rPr>
          <w:rFonts w:asciiTheme="minorEastAsia" w:hAnsiTheme="minorEastAsia" w:eastAsiaTheme="minorEastAsia"/>
          <w:b/>
        </w:rPr>
        <w:t>供应商信用承诺书</w:t>
      </w:r>
    </w:p>
    <w:p w14:paraId="35AEDF64">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为营造公开、公平、公正的公共资源交易环境，树立诚信守法的投标人形象，本人代表本单位作出以下承诺：</w:t>
      </w:r>
    </w:p>
    <w:p w14:paraId="49F4F66A">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一、本单位对所提交的</w:t>
      </w:r>
      <w:r>
        <w:rPr>
          <w:rFonts w:hint="eastAsia" w:asciiTheme="minorEastAsia" w:hAnsiTheme="minorEastAsia" w:eastAsiaTheme="minorEastAsia"/>
          <w:lang w:val="zh-CN"/>
        </w:rPr>
        <w:t>相关</w:t>
      </w:r>
      <w:r>
        <w:rPr>
          <w:rFonts w:asciiTheme="minorEastAsia" w:hAnsiTheme="minorEastAsia" w:eastAsiaTheme="minorEastAsia"/>
          <w:lang w:val="zh-CN"/>
        </w:rPr>
        <w:t>信息均合法、真实、准确、有效，无任何伪造、修改、虚假成分；</w:t>
      </w:r>
    </w:p>
    <w:p w14:paraId="0BA4E8AB">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二、严格依照国家和省、市、县关于采购等方面的法律、法规、规章、规范性文件，参加招标投标活动；积极履行社会责任，促进廉政建设；</w:t>
      </w:r>
    </w:p>
    <w:p w14:paraId="1D86F4AE">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三、严格遵守即时信息公示规定；</w:t>
      </w:r>
    </w:p>
    <w:p w14:paraId="5F4FA3CC">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四、自我约束、自我管理，守合同、重信用，不参与围标串标、弄虚作假、骗取中标、干扰评标、违约毁约、恶意投诉等行为；</w:t>
      </w:r>
    </w:p>
    <w:p w14:paraId="02FD8942">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24335830">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六、自觉接受行业组织、社会公众、新闻舆论等监督；</w:t>
      </w:r>
    </w:p>
    <w:p w14:paraId="20D63C88">
      <w:pPr>
        <w:spacing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七、上述承诺已向本单位员工作了宣传教育；</w:t>
      </w:r>
    </w:p>
    <w:p w14:paraId="55DDA066">
      <w:pPr>
        <w:spacing w:line="360" w:lineRule="auto"/>
        <w:ind w:firstLine="482" w:firstLineChars="200"/>
        <w:rPr>
          <w:rFonts w:asciiTheme="minorEastAsia" w:hAnsiTheme="minorEastAsia" w:eastAsiaTheme="minorEastAsia"/>
          <w:b/>
          <w:lang w:val="zh-CN"/>
        </w:rPr>
      </w:pPr>
      <w:r>
        <w:rPr>
          <w:rFonts w:asciiTheme="minorEastAsia" w:hAnsiTheme="minorEastAsia" w:eastAsiaTheme="minorEastAsia"/>
          <w:b/>
          <w:lang w:val="zh-CN"/>
        </w:rPr>
        <w:t>如有违反上述承诺的不良行为，本单位同意将其予以上网公示。</w:t>
      </w:r>
    </w:p>
    <w:p w14:paraId="402880B7">
      <w:pPr>
        <w:spacing w:line="360" w:lineRule="auto"/>
        <w:rPr>
          <w:rFonts w:asciiTheme="minorEastAsia" w:hAnsiTheme="minorEastAsia" w:eastAsiaTheme="minorEastAsia"/>
          <w:lang w:val="zh-CN"/>
        </w:rPr>
      </w:pPr>
    </w:p>
    <w:p w14:paraId="78195835">
      <w:pPr>
        <w:spacing w:line="360" w:lineRule="auto"/>
        <w:ind w:firstLine="4560" w:firstLineChars="1900"/>
        <w:rPr>
          <w:rFonts w:asciiTheme="minorEastAsia" w:hAnsiTheme="minorEastAsia" w:eastAsiaTheme="minorEastAsia"/>
          <w:lang w:val="zh-CN"/>
        </w:rPr>
      </w:pPr>
    </w:p>
    <w:p w14:paraId="3DBA49F0">
      <w:pPr>
        <w:spacing w:line="360" w:lineRule="auto"/>
        <w:ind w:firstLine="2640" w:firstLineChars="1100"/>
        <w:rPr>
          <w:rFonts w:asciiTheme="minorEastAsia" w:hAnsiTheme="minorEastAsia" w:eastAsiaTheme="minorEastAsia"/>
          <w:u w:val="single"/>
          <w:lang w:val="zh-CN"/>
        </w:rPr>
      </w:pPr>
      <w:r>
        <w:rPr>
          <w:rFonts w:hint="eastAsia" w:asciiTheme="minorEastAsia" w:hAnsiTheme="minorEastAsia" w:eastAsiaTheme="minorEastAsia"/>
          <w:lang w:val="zh-CN"/>
        </w:rPr>
        <w:t>响应</w:t>
      </w:r>
      <w:r>
        <w:rPr>
          <w:rFonts w:asciiTheme="minorEastAsia" w:hAnsiTheme="minorEastAsia" w:eastAsiaTheme="minorEastAsia"/>
          <w:lang w:val="zh-CN"/>
        </w:rPr>
        <w:t>供应商全称(盖公章)：</w:t>
      </w:r>
    </w:p>
    <w:p w14:paraId="0BFDD099">
      <w:pPr>
        <w:spacing w:line="360" w:lineRule="auto"/>
        <w:ind w:firstLine="2640" w:firstLineChars="1100"/>
        <w:rPr>
          <w:rFonts w:asciiTheme="minorEastAsia" w:hAnsiTheme="minorEastAsia" w:eastAsiaTheme="minorEastAsia"/>
          <w:u w:val="single"/>
          <w:lang w:val="zh-CN"/>
        </w:rPr>
      </w:pPr>
      <w:r>
        <w:rPr>
          <w:rFonts w:asciiTheme="minorEastAsia" w:hAnsiTheme="minorEastAsia" w:eastAsiaTheme="minorEastAsia"/>
          <w:lang w:val="zh-CN"/>
        </w:rPr>
        <w:t>法定代表人（签字或盖章）：</w:t>
      </w:r>
    </w:p>
    <w:p w14:paraId="66BD9F4C">
      <w:pPr>
        <w:spacing w:line="360" w:lineRule="auto"/>
        <w:ind w:firstLine="2640" w:firstLineChars="1100"/>
        <w:rPr>
          <w:rFonts w:asciiTheme="minorEastAsia" w:hAnsiTheme="minorEastAsia" w:eastAsiaTheme="minorEastAsia"/>
          <w:lang w:val="zh-CN"/>
        </w:rPr>
      </w:pPr>
      <w:r>
        <w:rPr>
          <w:rFonts w:asciiTheme="minorEastAsia" w:hAnsiTheme="minorEastAsia" w:eastAsiaTheme="minorEastAsia"/>
          <w:lang w:val="zh-CN"/>
        </w:rPr>
        <w:t>时间：</w:t>
      </w:r>
      <w:r>
        <w:rPr>
          <w:rFonts w:hint="eastAsia" w:asciiTheme="minorEastAsia" w:hAnsiTheme="minorEastAsia" w:eastAsiaTheme="minorEastAsia"/>
          <w:lang w:val="zh-CN"/>
        </w:rPr>
        <w:t xml:space="preserve">  </w:t>
      </w:r>
      <w:r>
        <w:rPr>
          <w:rFonts w:asciiTheme="minorEastAsia" w:hAnsiTheme="minorEastAsia" w:eastAsiaTheme="minorEastAsia"/>
          <w:lang w:val="zh-CN"/>
        </w:rPr>
        <w:t>年</w:t>
      </w:r>
      <w:r>
        <w:rPr>
          <w:rFonts w:hint="eastAsia" w:asciiTheme="minorEastAsia" w:hAnsiTheme="minorEastAsia" w:eastAsiaTheme="minorEastAsia"/>
          <w:lang w:val="zh-CN"/>
        </w:rPr>
        <w:t xml:space="preserve">  </w:t>
      </w:r>
      <w:r>
        <w:rPr>
          <w:rFonts w:asciiTheme="minorEastAsia" w:hAnsiTheme="minorEastAsia" w:eastAsiaTheme="minorEastAsia"/>
          <w:lang w:val="zh-CN"/>
        </w:rPr>
        <w:t>月</w:t>
      </w:r>
      <w:r>
        <w:rPr>
          <w:rFonts w:hint="eastAsia" w:asciiTheme="minorEastAsia" w:hAnsiTheme="minorEastAsia" w:eastAsiaTheme="minorEastAsia"/>
          <w:lang w:val="zh-CN"/>
        </w:rPr>
        <w:t xml:space="preserve">  </w:t>
      </w:r>
      <w:r>
        <w:rPr>
          <w:rFonts w:asciiTheme="minorEastAsia" w:hAnsiTheme="minorEastAsia" w:eastAsiaTheme="minorEastAsia"/>
          <w:lang w:val="zh-CN"/>
        </w:rPr>
        <w:t>日</w:t>
      </w:r>
    </w:p>
    <w:p w14:paraId="5D49FFCD">
      <w:pPr>
        <w:snapToGrid w:val="0"/>
        <w:spacing w:line="400" w:lineRule="exact"/>
        <w:contextualSpacing/>
        <w:rPr>
          <w:rFonts w:asciiTheme="minorEastAsia" w:hAnsiTheme="minorEastAsia" w:eastAsiaTheme="minorEastAsia"/>
          <w:kern w:val="0"/>
        </w:rPr>
      </w:pPr>
    </w:p>
    <w:p w14:paraId="30332326">
      <w:pPr>
        <w:pStyle w:val="10"/>
        <w:rPr>
          <w:rFonts w:asciiTheme="minorEastAsia" w:hAnsiTheme="minorEastAsia" w:eastAsiaTheme="minorEastAsia"/>
          <w:sz w:val="24"/>
          <w:szCs w:val="24"/>
        </w:rPr>
      </w:pPr>
    </w:p>
    <w:p w14:paraId="131BAC7C">
      <w:pPr>
        <w:pStyle w:val="10"/>
        <w:ind w:left="480" w:firstLine="480"/>
        <w:rPr>
          <w:rFonts w:asciiTheme="minorEastAsia" w:hAnsiTheme="minorEastAsia" w:eastAsiaTheme="minorEastAsia"/>
          <w:sz w:val="24"/>
          <w:szCs w:val="24"/>
        </w:rPr>
      </w:pPr>
    </w:p>
    <w:p w14:paraId="7B119DAA">
      <w:pPr>
        <w:spacing w:line="360" w:lineRule="auto"/>
        <w:jc w:val="left"/>
        <w:rPr>
          <w:rFonts w:asciiTheme="minorEastAsia" w:hAnsiTheme="minorEastAsia" w:eastAsiaTheme="minorEastAsia"/>
          <w:b/>
          <w:bCs/>
        </w:rPr>
      </w:pPr>
    </w:p>
    <w:p w14:paraId="10A022B4">
      <w:pPr>
        <w:spacing w:line="360" w:lineRule="auto"/>
        <w:jc w:val="left"/>
        <w:rPr>
          <w:rFonts w:asciiTheme="minorEastAsia" w:hAnsiTheme="minorEastAsia" w:eastAsiaTheme="minorEastAsia"/>
          <w:b/>
          <w:bCs/>
        </w:rPr>
      </w:pPr>
    </w:p>
    <w:p w14:paraId="428485F7">
      <w:pPr>
        <w:spacing w:line="360" w:lineRule="auto"/>
        <w:jc w:val="left"/>
        <w:rPr>
          <w:rFonts w:asciiTheme="minorEastAsia" w:hAnsiTheme="minorEastAsia" w:eastAsiaTheme="minorEastAsia"/>
          <w:b/>
          <w:bCs/>
        </w:rPr>
      </w:pPr>
    </w:p>
    <w:p w14:paraId="7A2D5620">
      <w:pPr>
        <w:spacing w:line="360" w:lineRule="auto"/>
        <w:jc w:val="left"/>
        <w:rPr>
          <w:rFonts w:asciiTheme="minorEastAsia" w:hAnsiTheme="minorEastAsia" w:eastAsiaTheme="minorEastAsia"/>
          <w:b/>
          <w:bCs/>
        </w:rPr>
      </w:pPr>
    </w:p>
    <w:p w14:paraId="64C85B6E">
      <w:pPr>
        <w:spacing w:line="360" w:lineRule="auto"/>
        <w:jc w:val="left"/>
        <w:rPr>
          <w:rFonts w:asciiTheme="minorEastAsia" w:hAnsiTheme="minorEastAsia" w:eastAsiaTheme="minorEastAsia"/>
          <w:b/>
          <w:bCs/>
        </w:rPr>
      </w:pPr>
    </w:p>
    <w:p w14:paraId="3C90B343">
      <w:pPr>
        <w:spacing w:line="360" w:lineRule="auto"/>
        <w:jc w:val="left"/>
        <w:rPr>
          <w:rFonts w:asciiTheme="minorEastAsia" w:hAnsiTheme="minorEastAsia" w:eastAsiaTheme="minorEastAsia"/>
          <w:b/>
          <w:bCs/>
        </w:rPr>
      </w:pPr>
    </w:p>
    <w:p w14:paraId="5364A348">
      <w:pPr>
        <w:spacing w:line="360" w:lineRule="auto"/>
        <w:jc w:val="left"/>
        <w:rPr>
          <w:rFonts w:asciiTheme="minorEastAsia" w:hAnsiTheme="minorEastAsia" w:eastAsiaTheme="minorEastAsia"/>
          <w:b/>
          <w:bCs/>
        </w:rPr>
      </w:pPr>
    </w:p>
    <w:p w14:paraId="276ADBB9">
      <w:pPr>
        <w:snapToGrid w:val="0"/>
        <w:spacing w:beforeLines="100" w:line="420" w:lineRule="exact"/>
        <w:jc w:val="center"/>
        <w:outlineLvl w:val="3"/>
        <w:rPr>
          <w:rFonts w:ascii="宋体" w:hAnsi="宋体" w:eastAsia="宋体" w:cs="宋体"/>
          <w:b/>
          <w:bCs/>
        </w:rPr>
      </w:pPr>
      <w:r>
        <w:rPr>
          <w:rFonts w:hint="eastAsia" w:ascii="宋体" w:hAnsi="宋体" w:eastAsia="宋体" w:cs="宋体"/>
          <w:b/>
          <w:bCs/>
        </w:rPr>
        <w:t>5、竞争性谈判响应函</w:t>
      </w:r>
    </w:p>
    <w:p w14:paraId="2AC3E41A">
      <w:pPr>
        <w:snapToGrid w:val="0"/>
        <w:spacing w:beforeLines="100" w:afterLines="100" w:line="380" w:lineRule="exact"/>
        <w:rPr>
          <w:rFonts w:ascii="宋体" w:hAnsi="宋体" w:eastAsia="宋体" w:cs="宋体"/>
        </w:rPr>
      </w:pPr>
      <w:r>
        <w:rPr>
          <w:rFonts w:hint="eastAsia" w:ascii="宋体" w:hAnsi="宋体" w:eastAsia="宋体" w:cs="宋体"/>
          <w:u w:val="single"/>
        </w:rPr>
        <w:t>江苏大生集团有限公司</w:t>
      </w:r>
      <w:r>
        <w:rPr>
          <w:rFonts w:hint="eastAsia" w:ascii="宋体" w:hAnsi="宋体" w:eastAsia="宋体" w:cs="宋体"/>
        </w:rPr>
        <w:t>：</w:t>
      </w:r>
    </w:p>
    <w:p w14:paraId="5A33DE0D">
      <w:pPr>
        <w:snapToGrid w:val="0"/>
        <w:spacing w:line="360" w:lineRule="auto"/>
        <w:ind w:firstLine="480" w:firstLineChars="200"/>
        <w:rPr>
          <w:rFonts w:ascii="宋体" w:hAnsi="宋体" w:eastAsia="宋体" w:cs="宋体"/>
        </w:rPr>
      </w:pPr>
      <w:r>
        <w:rPr>
          <w:rFonts w:hint="eastAsia" w:ascii="宋体" w:hAnsi="宋体" w:eastAsia="宋体" w:cs="宋体"/>
        </w:rPr>
        <w:t>依据贵单位</w:t>
      </w:r>
      <w:r>
        <w:rPr>
          <w:rFonts w:hint="eastAsia" w:ascii="宋体" w:hAnsi="宋体" w:eastAsia="宋体" w:cs="宋体"/>
          <w:u w:val="single"/>
        </w:rPr>
        <w:t>江苏大生集团信息化系统改造项目</w:t>
      </w:r>
      <w:r>
        <w:rPr>
          <w:rFonts w:hint="eastAsia" w:ascii="宋体" w:hAnsi="宋体" w:eastAsia="宋体" w:cs="宋体"/>
        </w:rPr>
        <w:t>竞争性谈判文件的邀请，我方授权</w:t>
      </w:r>
      <w:r>
        <w:rPr>
          <w:rFonts w:hint="eastAsia" w:ascii="宋体" w:hAnsi="宋体" w:eastAsia="宋体" w:cs="宋体"/>
          <w:u w:val="single"/>
        </w:rPr>
        <w:t>（姓名）（职务）</w:t>
      </w:r>
      <w:r>
        <w:rPr>
          <w:rFonts w:hint="eastAsia" w:ascii="宋体" w:hAnsi="宋体" w:eastAsia="宋体" w:cs="宋体"/>
        </w:rPr>
        <w:t>为全权代表参加该项目的竞争性谈判响应工作，全权处理本次竞争性谈判的有关事宜。同时，我公司声明如下：</w:t>
      </w:r>
    </w:p>
    <w:p w14:paraId="67ED3BC5">
      <w:pPr>
        <w:numPr>
          <w:ilvl w:val="0"/>
          <w:numId w:val="7"/>
        </w:numPr>
        <w:snapToGrid w:val="0"/>
        <w:spacing w:line="360" w:lineRule="auto"/>
        <w:ind w:firstLine="360" w:firstLineChars="150"/>
        <w:rPr>
          <w:rFonts w:ascii="宋体" w:hAnsi="宋体" w:eastAsia="宋体" w:cs="宋体"/>
        </w:rPr>
      </w:pPr>
      <w:r>
        <w:rPr>
          <w:rFonts w:hint="eastAsia" w:ascii="宋体" w:hAnsi="宋体" w:eastAsia="宋体" w:cs="宋体"/>
        </w:rPr>
        <w:t>我方愿意按照竞争性谈判文件的一切要求。</w:t>
      </w:r>
    </w:p>
    <w:p w14:paraId="60C57650">
      <w:pPr>
        <w:snapToGrid w:val="0"/>
        <w:spacing w:line="360" w:lineRule="auto"/>
        <w:ind w:firstLine="240" w:firstLineChars="100"/>
        <w:rPr>
          <w:rFonts w:ascii="宋体" w:hAnsi="宋体" w:eastAsia="宋体" w:cs="宋体"/>
        </w:rPr>
      </w:pPr>
      <w:r>
        <w:rPr>
          <w:rFonts w:hint="eastAsia" w:ascii="宋体" w:hAnsi="宋体" w:eastAsia="宋体" w:cs="宋体"/>
        </w:rPr>
        <w:t>（2）我方已经详细审查了全部竞争性谈判文件，我方已完全清晰理解竞争性谈判文件的要求，不存在任何含糊不清和误解之处，同意放弃对这些文件所提出的异议和质疑的权利。</w:t>
      </w:r>
    </w:p>
    <w:p w14:paraId="2F98E21A">
      <w:pPr>
        <w:snapToGrid w:val="0"/>
        <w:spacing w:line="360" w:lineRule="auto"/>
        <w:ind w:firstLine="480" w:firstLineChars="200"/>
        <w:rPr>
          <w:rFonts w:ascii="宋体" w:hAnsi="宋体" w:eastAsia="宋体" w:cs="宋体"/>
        </w:rPr>
      </w:pPr>
      <w:r>
        <w:rPr>
          <w:rFonts w:hint="eastAsia" w:ascii="宋体" w:hAnsi="宋体" w:eastAsia="宋体" w:cs="宋体"/>
        </w:rPr>
        <w:t>（3）我方承诺提供的竞争性谈判响应文件的有效期，从竞争性谈判响应文件接收截止之日算起，</w:t>
      </w:r>
      <w:r>
        <w:rPr>
          <w:rFonts w:hint="eastAsia" w:ascii="宋体" w:hAnsi="宋体" w:eastAsia="宋体" w:cs="宋体"/>
          <w:b/>
          <w:bCs/>
        </w:rPr>
        <w:t>45</w:t>
      </w:r>
      <w:r>
        <w:rPr>
          <w:rFonts w:hint="eastAsia" w:ascii="宋体" w:hAnsi="宋体" w:eastAsia="宋体" w:cs="宋体"/>
        </w:rPr>
        <w:t>个“日历天”内保持有效。</w:t>
      </w:r>
    </w:p>
    <w:p w14:paraId="70145C29">
      <w:pPr>
        <w:snapToGrid w:val="0"/>
        <w:spacing w:line="360" w:lineRule="auto"/>
        <w:ind w:firstLine="480" w:firstLineChars="200"/>
        <w:rPr>
          <w:rFonts w:ascii="宋体" w:hAnsi="宋体" w:eastAsia="宋体" w:cs="宋体"/>
        </w:rPr>
      </w:pPr>
      <w:r>
        <w:rPr>
          <w:rFonts w:hint="eastAsia" w:ascii="宋体" w:hAnsi="宋体" w:eastAsia="宋体" w:cs="宋体"/>
        </w:rPr>
        <w:t>（4）我方愿意提供招标采购单位在竞争性谈判文件中要求的所有资料。</w:t>
      </w:r>
    </w:p>
    <w:p w14:paraId="349BD9A4">
      <w:pPr>
        <w:snapToGrid w:val="0"/>
        <w:spacing w:line="360" w:lineRule="auto"/>
        <w:ind w:firstLine="480" w:firstLineChars="200"/>
        <w:rPr>
          <w:rFonts w:ascii="宋体" w:hAnsi="宋体" w:eastAsia="宋体" w:cs="宋体"/>
        </w:rPr>
      </w:pPr>
      <w:r>
        <w:rPr>
          <w:rFonts w:hint="eastAsia" w:ascii="宋体" w:hAnsi="宋体" w:eastAsia="宋体" w:cs="宋体"/>
        </w:rPr>
        <w:t>（5）我方承诺在本次竞争性谈判响应中提供的一切文件，无论是原件还是复印件均真实有效，绝无任何虚假、伪造和夸大的成份。否则，愿承担相应的后果和法律责任。</w:t>
      </w:r>
    </w:p>
    <w:p w14:paraId="33186404">
      <w:pPr>
        <w:snapToGrid w:val="0"/>
        <w:spacing w:line="360" w:lineRule="auto"/>
        <w:ind w:firstLine="480" w:firstLineChars="200"/>
        <w:rPr>
          <w:rFonts w:ascii="宋体" w:hAnsi="宋体" w:eastAsia="宋体" w:cs="宋体"/>
        </w:rPr>
      </w:pPr>
      <w:r>
        <w:rPr>
          <w:rFonts w:hint="eastAsia" w:ascii="宋体" w:hAnsi="宋体" w:eastAsia="宋体" w:cs="宋体"/>
        </w:rPr>
        <w:t>（6）我方尊重评审小组所作评定结果，同时也清楚理解“符合采购需求、质量和服务相等且报价最低的原则”，本竞争性谈判项目最后报价最低意味着获得成交资格的推荐。</w:t>
      </w:r>
    </w:p>
    <w:p w14:paraId="2558A053">
      <w:pPr>
        <w:snapToGrid w:val="0"/>
        <w:spacing w:line="360" w:lineRule="auto"/>
        <w:ind w:firstLine="480" w:firstLineChars="200"/>
        <w:rPr>
          <w:rFonts w:ascii="宋体" w:hAnsi="宋体" w:eastAsia="宋体" w:cs="宋体"/>
        </w:rPr>
      </w:pPr>
      <w:r>
        <w:rPr>
          <w:rFonts w:hint="eastAsia" w:ascii="宋体" w:hAnsi="宋体" w:eastAsia="宋体" w:cs="宋体"/>
        </w:rPr>
        <w:t>（7）一旦我方成交，我方将严格履行竞争性谈判文件中规定的每一项要求，按期、按质、按量履行合同义务。</w:t>
      </w:r>
    </w:p>
    <w:p w14:paraId="3DF10456">
      <w:pPr>
        <w:snapToGrid w:val="0"/>
        <w:spacing w:line="380" w:lineRule="exact"/>
        <w:ind w:firstLine="2400" w:firstLineChars="1000"/>
        <w:jc w:val="right"/>
        <w:rPr>
          <w:rFonts w:ascii="宋体" w:hAnsi="宋体" w:eastAsia="宋体" w:cs="宋体"/>
        </w:rPr>
      </w:pPr>
    </w:p>
    <w:p w14:paraId="3F154FD8">
      <w:pPr>
        <w:snapToGrid w:val="0"/>
        <w:spacing w:line="380" w:lineRule="exact"/>
        <w:ind w:firstLine="2400" w:firstLineChars="1000"/>
        <w:jc w:val="right"/>
        <w:rPr>
          <w:rFonts w:ascii="宋体" w:hAnsi="宋体" w:eastAsia="宋体" w:cs="宋体"/>
        </w:rPr>
      </w:pPr>
      <w:r>
        <w:rPr>
          <w:rFonts w:hint="eastAsia" w:ascii="宋体" w:hAnsi="宋体" w:eastAsia="宋体" w:cs="宋体"/>
        </w:rPr>
        <w:t>供应商：（加盖公章）</w:t>
      </w:r>
    </w:p>
    <w:p w14:paraId="63D5500F">
      <w:pPr>
        <w:snapToGrid w:val="0"/>
        <w:spacing w:line="380" w:lineRule="exact"/>
        <w:ind w:firstLine="2400" w:firstLineChars="1000"/>
        <w:jc w:val="right"/>
        <w:rPr>
          <w:rFonts w:ascii="宋体" w:hAnsi="宋体" w:eastAsia="宋体" w:cs="宋体"/>
        </w:rPr>
      </w:pPr>
      <w:r>
        <w:rPr>
          <w:rFonts w:hint="eastAsia" w:ascii="宋体" w:hAnsi="宋体" w:eastAsia="宋体" w:cs="宋体"/>
        </w:rPr>
        <w:t>法定代表人或被委托受权人：（签字或盖章）</w:t>
      </w:r>
    </w:p>
    <w:p w14:paraId="1E5DE82C">
      <w:pPr>
        <w:snapToGrid w:val="0"/>
        <w:spacing w:line="380" w:lineRule="exact"/>
        <w:jc w:val="right"/>
        <w:rPr>
          <w:rFonts w:ascii="宋体" w:hAnsi="宋体" w:eastAsia="宋体" w:cs="宋体"/>
        </w:rPr>
      </w:pPr>
      <w:r>
        <w:rPr>
          <w:rFonts w:hint="eastAsia" w:ascii="宋体" w:hAnsi="宋体" w:eastAsia="宋体" w:cs="宋体"/>
        </w:rPr>
        <w:t>二〇二六年 月 日</w:t>
      </w:r>
    </w:p>
    <w:p w14:paraId="2B37002A">
      <w:pPr>
        <w:widowControl/>
        <w:jc w:val="left"/>
        <w:rPr>
          <w:rFonts w:ascii="宋体" w:hAnsi="宋体" w:eastAsia="宋体" w:cs="宋体"/>
          <w:b/>
          <w:bCs/>
        </w:rPr>
      </w:pPr>
      <w:bookmarkStart w:id="18" w:name="_Hlk47207098"/>
      <w:r>
        <w:rPr>
          <w:rFonts w:hint="eastAsia" w:ascii="宋体" w:hAnsi="宋体" w:eastAsia="宋体" w:cs="宋体"/>
          <w:b/>
          <w:bCs/>
        </w:rPr>
        <w:br w:type="page"/>
      </w:r>
    </w:p>
    <w:bookmarkEnd w:id="18"/>
    <w:p w14:paraId="145E88E5">
      <w:pPr>
        <w:snapToGrid w:val="0"/>
        <w:spacing w:beforeLines="100" w:line="420" w:lineRule="exact"/>
        <w:jc w:val="center"/>
        <w:outlineLvl w:val="3"/>
        <w:rPr>
          <w:rFonts w:ascii="宋体" w:hAnsi="宋体" w:eastAsia="宋体" w:cs="宋体"/>
          <w:b/>
          <w:bCs/>
        </w:rPr>
      </w:pPr>
      <w:r>
        <w:rPr>
          <w:rFonts w:hint="eastAsia" w:ascii="宋体" w:hAnsi="宋体" w:eastAsia="宋体" w:cs="宋体"/>
          <w:b/>
          <w:bCs/>
        </w:rPr>
        <w:t>6、竞争性谈判响应报价总表</w:t>
      </w:r>
    </w:p>
    <w:p w14:paraId="5F043E5C">
      <w:pPr>
        <w:snapToGrid w:val="0"/>
        <w:spacing w:line="420" w:lineRule="exact"/>
        <w:jc w:val="left"/>
        <w:rPr>
          <w:rFonts w:ascii="宋体" w:hAnsi="宋体" w:eastAsia="宋体" w:cs="宋体"/>
        </w:rPr>
      </w:pPr>
    </w:p>
    <w:p w14:paraId="761C6D73">
      <w:pPr>
        <w:snapToGrid w:val="0"/>
        <w:spacing w:line="420" w:lineRule="exact"/>
        <w:jc w:val="left"/>
        <w:rPr>
          <w:rFonts w:ascii="宋体" w:hAnsi="宋体" w:eastAsia="宋体" w:cs="宋体"/>
          <w:b/>
          <w:bCs/>
        </w:rPr>
      </w:pPr>
    </w:p>
    <w:tbl>
      <w:tblPr>
        <w:tblStyle w:val="49"/>
        <w:tblW w:w="97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7087"/>
      </w:tblGrid>
      <w:tr w14:paraId="01E8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58" w:type="dxa"/>
            <w:vAlign w:val="center"/>
          </w:tcPr>
          <w:p w14:paraId="0D017DB2">
            <w:pPr>
              <w:snapToGrid w:val="0"/>
              <w:spacing w:line="420" w:lineRule="exact"/>
              <w:ind w:left="1133" w:hanging="1132" w:hangingChars="472"/>
              <w:jc w:val="center"/>
              <w:rPr>
                <w:rFonts w:ascii="宋体" w:hAnsi="宋体" w:eastAsia="宋体" w:cs="宋体"/>
                <w:bCs/>
              </w:rPr>
            </w:pPr>
            <w:r>
              <w:rPr>
                <w:rFonts w:hint="eastAsia" w:ascii="宋体" w:hAnsi="宋体" w:eastAsia="宋体" w:cs="宋体"/>
                <w:bCs/>
              </w:rPr>
              <w:t>项目名称</w:t>
            </w:r>
          </w:p>
        </w:tc>
        <w:tc>
          <w:tcPr>
            <w:tcW w:w="7087" w:type="dxa"/>
            <w:vAlign w:val="center"/>
          </w:tcPr>
          <w:p w14:paraId="22CA965E">
            <w:pPr>
              <w:jc w:val="left"/>
              <w:rPr>
                <w:rFonts w:ascii="宋体" w:hAnsi="宋体" w:eastAsia="宋体" w:cs="宋体"/>
                <w:bCs/>
              </w:rPr>
            </w:pPr>
            <w:r>
              <w:rPr>
                <w:rFonts w:hint="eastAsia" w:ascii="宋体" w:hAnsi="宋体" w:eastAsia="宋体" w:cs="宋体"/>
                <w:bCs/>
              </w:rPr>
              <w:t>江苏大生集团信息化系统改造项目</w:t>
            </w:r>
          </w:p>
        </w:tc>
      </w:tr>
      <w:tr w14:paraId="341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58" w:type="dxa"/>
            <w:vAlign w:val="center"/>
          </w:tcPr>
          <w:p w14:paraId="374107E7">
            <w:pPr>
              <w:snapToGrid w:val="0"/>
              <w:spacing w:line="420" w:lineRule="exact"/>
              <w:ind w:left="1133" w:hanging="1132" w:hangingChars="472"/>
              <w:jc w:val="left"/>
              <w:rPr>
                <w:rFonts w:ascii="宋体" w:hAnsi="宋体" w:eastAsia="宋体" w:cs="宋体"/>
                <w:bCs/>
              </w:rPr>
            </w:pPr>
            <w:r>
              <w:rPr>
                <w:rFonts w:hint="eastAsia" w:ascii="宋体" w:hAnsi="宋体" w:eastAsia="宋体" w:cs="宋体"/>
                <w:bCs/>
              </w:rPr>
              <w:t>竞谈报价总价（首次）</w:t>
            </w:r>
          </w:p>
        </w:tc>
        <w:tc>
          <w:tcPr>
            <w:tcW w:w="7087" w:type="dxa"/>
            <w:vAlign w:val="center"/>
          </w:tcPr>
          <w:p w14:paraId="5E87363D">
            <w:pPr>
              <w:snapToGrid w:val="0"/>
              <w:spacing w:line="420" w:lineRule="exact"/>
              <w:ind w:left="1133" w:hanging="1132" w:hangingChars="472"/>
              <w:jc w:val="left"/>
              <w:rPr>
                <w:rFonts w:ascii="宋体" w:hAnsi="宋体" w:eastAsia="宋体" w:cs="宋体"/>
                <w:bCs/>
              </w:rPr>
            </w:pPr>
          </w:p>
          <w:p w14:paraId="6AF2EED3">
            <w:pPr>
              <w:snapToGrid w:val="0"/>
              <w:spacing w:line="420" w:lineRule="exact"/>
              <w:ind w:left="1133" w:hanging="1132" w:hangingChars="472"/>
              <w:jc w:val="left"/>
              <w:rPr>
                <w:rFonts w:ascii="宋体" w:hAnsi="宋体" w:eastAsia="宋体" w:cs="宋体"/>
                <w:bCs/>
              </w:rPr>
            </w:pPr>
            <w:r>
              <w:rPr>
                <w:rFonts w:hint="eastAsia" w:ascii="宋体" w:hAnsi="宋体" w:eastAsia="宋体" w:cs="宋体"/>
                <w:bCs/>
              </w:rPr>
              <w:t>人民币：</w:t>
            </w:r>
            <w:r>
              <w:rPr>
                <w:rFonts w:hint="eastAsia" w:ascii="宋体" w:hAnsi="宋体" w:eastAsia="宋体" w:cs="宋体"/>
                <w:bCs/>
                <w:u w:val="single"/>
              </w:rPr>
              <w:t xml:space="preserve">               元</w:t>
            </w:r>
            <w:r>
              <w:rPr>
                <w:rFonts w:hint="eastAsia" w:ascii="宋体" w:hAnsi="宋体" w:eastAsia="宋体" w:cs="宋体"/>
                <w:bCs/>
              </w:rPr>
              <w:t xml:space="preserve"> （小写）</w:t>
            </w:r>
          </w:p>
          <w:p w14:paraId="4FB06312">
            <w:pPr>
              <w:snapToGrid w:val="0"/>
              <w:spacing w:line="420" w:lineRule="exact"/>
              <w:jc w:val="left"/>
              <w:rPr>
                <w:rFonts w:cs="宋体" w:asciiTheme="minorEastAsia" w:hAnsiTheme="minorEastAsia" w:eastAsiaTheme="minorEastAsia"/>
                <w:bCs/>
              </w:rPr>
            </w:pPr>
            <w:r>
              <w:rPr>
                <w:rFonts w:hint="eastAsia" w:asciiTheme="minorEastAsia" w:hAnsiTheme="minorEastAsia" w:eastAsiaTheme="minorEastAsia"/>
                <w:u w:val="single"/>
              </w:rPr>
              <w:t xml:space="preserve">                         </w:t>
            </w:r>
            <w:r>
              <w:rPr>
                <w:rFonts w:hint="eastAsia" w:asciiTheme="minorEastAsia" w:hAnsiTheme="minorEastAsia" w:eastAsiaTheme="minorEastAsia"/>
              </w:rPr>
              <w:t>（大写）</w:t>
            </w:r>
          </w:p>
        </w:tc>
      </w:tr>
      <w:tr w14:paraId="4E7D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658" w:type="dxa"/>
            <w:vAlign w:val="center"/>
          </w:tcPr>
          <w:p w14:paraId="56002861">
            <w:pPr>
              <w:snapToGrid w:val="0"/>
              <w:spacing w:line="420" w:lineRule="exact"/>
              <w:ind w:left="2"/>
              <w:jc w:val="left"/>
              <w:rPr>
                <w:rFonts w:ascii="宋体" w:hAnsi="宋体" w:eastAsia="宋体" w:cs="宋体"/>
                <w:bCs/>
              </w:rPr>
            </w:pPr>
            <w:r>
              <w:rPr>
                <w:rFonts w:hint="eastAsia" w:ascii="宋体" w:hAnsi="宋体" w:eastAsia="宋体" w:cs="宋体"/>
                <w:bCs/>
              </w:rPr>
              <w:t>付款条件</w:t>
            </w:r>
          </w:p>
        </w:tc>
        <w:tc>
          <w:tcPr>
            <w:tcW w:w="7087" w:type="dxa"/>
            <w:vAlign w:val="center"/>
          </w:tcPr>
          <w:p w14:paraId="6861AD83">
            <w:pPr>
              <w:snapToGrid w:val="0"/>
              <w:spacing w:line="420" w:lineRule="exact"/>
              <w:ind w:left="2"/>
              <w:jc w:val="left"/>
              <w:rPr>
                <w:rFonts w:ascii="宋体" w:hAnsi="宋体" w:eastAsia="宋体" w:cs="宋体"/>
                <w:bCs/>
              </w:rPr>
            </w:pPr>
            <w:r>
              <w:rPr>
                <w:rFonts w:hint="eastAsia" w:ascii="宋体" w:hAnsi="宋体" w:eastAsia="宋体" w:cs="宋体"/>
                <w:bCs/>
              </w:rPr>
              <w:t>完全接受并响应本项目竞争性谈判文件的要求。</w:t>
            </w:r>
          </w:p>
        </w:tc>
      </w:tr>
    </w:tbl>
    <w:p w14:paraId="450D28A7">
      <w:pPr>
        <w:kinsoku w:val="0"/>
        <w:topLinePunct/>
        <w:snapToGrid w:val="0"/>
        <w:spacing w:line="420" w:lineRule="exact"/>
        <w:rPr>
          <w:rFonts w:ascii="宋体" w:hAnsi="宋体" w:eastAsia="宋体" w:cs="宋体"/>
        </w:rPr>
      </w:pPr>
      <w:r>
        <w:rPr>
          <w:rFonts w:hint="eastAsia" w:ascii="宋体" w:hAnsi="宋体" w:eastAsia="宋体" w:cs="宋体"/>
        </w:rPr>
        <w:t>供应商：（盖章）</w:t>
      </w:r>
    </w:p>
    <w:p w14:paraId="0BB8C260">
      <w:pPr>
        <w:kinsoku w:val="0"/>
        <w:topLinePunct/>
        <w:snapToGrid w:val="0"/>
        <w:spacing w:line="420" w:lineRule="exact"/>
        <w:rPr>
          <w:rFonts w:ascii="宋体" w:hAnsi="宋体" w:eastAsia="宋体" w:cs="宋体"/>
        </w:rPr>
      </w:pPr>
      <w:r>
        <w:rPr>
          <w:rFonts w:hint="eastAsia" w:ascii="宋体" w:hAnsi="宋体" w:eastAsia="宋体" w:cs="宋体"/>
        </w:rPr>
        <w:t>法定代表人或被委托受权人（签字或盖章）：</w:t>
      </w:r>
    </w:p>
    <w:p w14:paraId="447891E9">
      <w:pPr>
        <w:kinsoku w:val="0"/>
        <w:topLinePunct/>
        <w:snapToGrid w:val="0"/>
        <w:spacing w:line="420" w:lineRule="exact"/>
        <w:rPr>
          <w:rFonts w:ascii="宋体" w:hAnsi="宋体" w:eastAsia="宋体" w:cs="宋体"/>
        </w:rPr>
      </w:pPr>
      <w:r>
        <w:rPr>
          <w:rFonts w:hint="eastAsia" w:ascii="宋体" w:hAnsi="宋体" w:eastAsia="宋体" w:cs="宋体"/>
        </w:rPr>
        <w:t>日期：</w:t>
      </w:r>
    </w:p>
    <w:p w14:paraId="7AACF7B4">
      <w:pPr>
        <w:kinsoku w:val="0"/>
        <w:topLinePunct/>
        <w:snapToGrid w:val="0"/>
        <w:spacing w:line="420" w:lineRule="exact"/>
        <w:rPr>
          <w:rFonts w:ascii="宋体" w:hAnsi="宋体" w:eastAsia="宋体" w:cs="宋体"/>
        </w:rPr>
      </w:pPr>
    </w:p>
    <w:p w14:paraId="32BA0039">
      <w:pPr>
        <w:snapToGrid w:val="0"/>
        <w:spacing w:line="420" w:lineRule="exact"/>
        <w:rPr>
          <w:rFonts w:ascii="宋体" w:hAnsi="宋体" w:eastAsia="宋体" w:cs="宋体"/>
          <w:b/>
          <w:bCs/>
        </w:rPr>
      </w:pPr>
      <w:r>
        <w:rPr>
          <w:rFonts w:hint="eastAsia" w:ascii="宋体" w:hAnsi="宋体" w:eastAsia="宋体" w:cs="宋体"/>
          <w:b/>
          <w:bCs/>
        </w:rPr>
        <w:t>注：</w:t>
      </w:r>
    </w:p>
    <w:p w14:paraId="5B07508D">
      <w:pPr>
        <w:snapToGrid w:val="0"/>
        <w:spacing w:line="360" w:lineRule="auto"/>
        <w:ind w:firstLine="480" w:firstLineChars="200"/>
        <w:rPr>
          <w:rFonts w:ascii="宋体" w:hAnsi="宋体" w:eastAsia="宋体" w:cs="宋体"/>
        </w:rPr>
      </w:pPr>
      <w:r>
        <w:rPr>
          <w:rFonts w:hint="eastAsia" w:ascii="宋体" w:hAnsi="宋体" w:eastAsia="宋体" w:cs="宋体"/>
        </w:rPr>
        <w:t>（1）本表为格式表，不得改动，必须提供</w:t>
      </w:r>
    </w:p>
    <w:p w14:paraId="17B97BEA">
      <w:pPr>
        <w:snapToGrid w:val="0"/>
        <w:spacing w:line="360" w:lineRule="auto"/>
        <w:ind w:firstLine="480" w:firstLineChars="200"/>
        <w:rPr>
          <w:rFonts w:ascii="宋体" w:hAnsi="宋体" w:eastAsia="宋体" w:cs="宋体"/>
        </w:rPr>
      </w:pPr>
      <w:r>
        <w:rPr>
          <w:rFonts w:hint="eastAsia" w:ascii="宋体" w:hAnsi="宋体" w:eastAsia="宋体" w:cs="宋体"/>
        </w:rPr>
        <w:t>（2）响应报价按本竞争性谈判文件规定的内容执行。</w:t>
      </w:r>
    </w:p>
    <w:p w14:paraId="348E34E1">
      <w:pPr>
        <w:snapToGrid w:val="0"/>
        <w:spacing w:line="360" w:lineRule="auto"/>
        <w:ind w:firstLine="480" w:firstLineChars="200"/>
        <w:rPr>
          <w:rFonts w:ascii="宋体" w:hAnsi="宋体" w:eastAsia="宋体" w:cs="宋体"/>
        </w:rPr>
      </w:pPr>
      <w:r>
        <w:rPr>
          <w:rFonts w:hint="eastAsia" w:ascii="宋体" w:hAnsi="宋体" w:eastAsia="宋体" w:cs="宋体"/>
        </w:rPr>
        <w:t>（3）本项目最后报价仅接受等于或低于供应商的首次报价，否则作无效响应处理。</w:t>
      </w:r>
    </w:p>
    <w:p w14:paraId="0524CC85">
      <w:pPr>
        <w:snapToGrid w:val="0"/>
        <w:spacing w:line="360" w:lineRule="auto"/>
        <w:ind w:firstLine="480" w:firstLineChars="200"/>
        <w:rPr>
          <w:rFonts w:ascii="宋体" w:hAnsi="宋体" w:eastAsia="宋体" w:cs="宋体"/>
        </w:rPr>
      </w:pPr>
      <w:r>
        <w:rPr>
          <w:rFonts w:hint="eastAsia" w:ascii="宋体" w:hAnsi="宋体" w:eastAsia="宋体" w:cs="宋体"/>
        </w:rPr>
        <w:t>（4）一旦成交，最后报价响应总价即为本竞争性谈判项目的成交价，竞争性谈判响应报价明细表按同比例下浮。</w:t>
      </w:r>
    </w:p>
    <w:p w14:paraId="23EF2BEA">
      <w:pPr>
        <w:pStyle w:val="2"/>
        <w:ind w:left="480" w:firstLine="480"/>
        <w:rPr>
          <w:rFonts w:ascii="宋体" w:hAnsi="宋体" w:cs="宋体"/>
        </w:rPr>
      </w:pPr>
    </w:p>
    <w:p w14:paraId="6CDB5FEC">
      <w:pPr>
        <w:snapToGrid w:val="0"/>
        <w:spacing w:line="420" w:lineRule="exact"/>
        <w:rPr>
          <w:rFonts w:ascii="宋体" w:hAnsi="宋体" w:eastAsia="宋体" w:cs="宋体"/>
        </w:rPr>
      </w:pPr>
    </w:p>
    <w:p w14:paraId="1CF95310">
      <w:pPr>
        <w:widowControl/>
        <w:rPr>
          <w:rFonts w:ascii="宋体" w:hAnsi="宋体" w:eastAsia="宋体" w:cs="宋体"/>
          <w:b/>
          <w:bCs/>
          <w:kern w:val="36"/>
          <w:sz w:val="28"/>
          <w:szCs w:val="28"/>
        </w:rPr>
      </w:pPr>
    </w:p>
    <w:p w14:paraId="554FB474">
      <w:pPr>
        <w:pStyle w:val="2"/>
        <w:ind w:left="480" w:firstLine="480"/>
      </w:pPr>
    </w:p>
    <w:p w14:paraId="009FF68E">
      <w:pPr>
        <w:pStyle w:val="2"/>
        <w:ind w:left="480" w:firstLine="480"/>
      </w:pPr>
    </w:p>
    <w:p w14:paraId="5F878C52">
      <w:pPr>
        <w:pStyle w:val="2"/>
        <w:ind w:left="480" w:firstLine="480"/>
      </w:pPr>
    </w:p>
    <w:p w14:paraId="0C8376EB">
      <w:pPr>
        <w:ind w:firstLine="2670" w:firstLineChars="950"/>
        <w:rPr>
          <w:rFonts w:ascii="宋体" w:hAnsi="宋体" w:eastAsia="宋体" w:cs="宋体"/>
          <w:b/>
          <w:bCs/>
          <w:kern w:val="36"/>
          <w:sz w:val="28"/>
          <w:szCs w:val="28"/>
        </w:rPr>
      </w:pPr>
    </w:p>
    <w:p w14:paraId="1C5458FA">
      <w:pPr>
        <w:widowControl/>
        <w:ind w:firstLine="2160" w:firstLineChars="900"/>
        <w:jc w:val="left"/>
        <w:rPr>
          <w:rFonts w:ascii="Calibri" w:hAnsi="Calibri" w:eastAsia="宋体" w:cs="Calibri"/>
        </w:rPr>
      </w:pPr>
    </w:p>
    <w:p w14:paraId="7479BB73">
      <w:pPr>
        <w:widowControl/>
        <w:ind w:firstLine="2160" w:firstLineChars="900"/>
        <w:jc w:val="left"/>
        <w:rPr>
          <w:rFonts w:ascii="Calibri" w:hAnsi="Calibri" w:eastAsia="宋体" w:cs="Calibri"/>
        </w:rPr>
      </w:pPr>
    </w:p>
    <w:p w14:paraId="31D9E981">
      <w:pPr>
        <w:widowControl/>
        <w:ind w:firstLine="2160" w:firstLineChars="900"/>
        <w:jc w:val="left"/>
        <w:rPr>
          <w:rFonts w:ascii="Calibri" w:hAnsi="Calibri" w:eastAsia="宋体" w:cs="Calibri"/>
        </w:rPr>
      </w:pPr>
    </w:p>
    <w:p w14:paraId="2245F502">
      <w:pPr>
        <w:widowControl/>
        <w:ind w:firstLine="2168" w:firstLineChars="900"/>
        <w:jc w:val="left"/>
        <w:rPr>
          <w:rFonts w:ascii="宋体" w:hAnsi="宋体" w:eastAsia="宋体" w:cs="宋体"/>
          <w:b/>
          <w:bCs/>
        </w:rPr>
      </w:pPr>
      <w:r>
        <w:rPr>
          <w:rFonts w:hint="eastAsia" w:ascii="宋体" w:hAnsi="宋体" w:eastAsia="宋体" w:cs="宋体"/>
          <w:b/>
          <w:bCs/>
        </w:rPr>
        <w:t>8、竞争性谈判响应报价明细表（按项目需求报价，格式自拟）</w:t>
      </w:r>
    </w:p>
    <w:p w14:paraId="33A059D5">
      <w:pPr>
        <w:widowControl/>
        <w:ind w:firstLine="2168" w:firstLineChars="900"/>
        <w:jc w:val="left"/>
        <w:rPr>
          <w:rFonts w:ascii="宋体" w:hAnsi="宋体" w:eastAsia="宋体" w:cs="宋体"/>
          <w:b/>
          <w:bCs/>
        </w:rPr>
      </w:pPr>
    </w:p>
    <w:p w14:paraId="140CF44F">
      <w:pPr>
        <w:widowControl/>
        <w:ind w:firstLine="2168" w:firstLineChars="900"/>
        <w:jc w:val="left"/>
        <w:rPr>
          <w:rFonts w:ascii="宋体" w:hAnsi="宋体" w:eastAsia="宋体" w:cs="宋体"/>
          <w:b/>
          <w:bCs/>
        </w:rPr>
      </w:pPr>
    </w:p>
    <w:p w14:paraId="1763DFE9">
      <w:pPr>
        <w:pStyle w:val="2"/>
        <w:ind w:left="480" w:firstLine="480"/>
      </w:pPr>
    </w:p>
    <w:sectPr>
      <w:pgSz w:w="11906" w:h="16838"/>
      <w:pgMar w:top="1418" w:right="1133" w:bottom="1418" w:left="1418" w:header="851" w:footer="760"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9517"/>
    </w:sdtPr>
    <w:sdtContent>
      <w:p w14:paraId="66B662F5">
        <w:pPr>
          <w:pStyle w:val="31"/>
          <w:jc w:val="center"/>
        </w:pPr>
        <w:r>
          <w:fldChar w:fldCharType="begin"/>
        </w:r>
        <w:r>
          <w:instrText xml:space="preserve"> PAGE   \* MERGEFORMAT </w:instrText>
        </w:r>
        <w:r>
          <w:fldChar w:fldCharType="separate"/>
        </w:r>
        <w:r>
          <w:rPr>
            <w:lang w:val="zh-CN"/>
          </w:rPr>
          <w:t>4</w:t>
        </w:r>
        <w:r>
          <w:rPr>
            <w:lang w:val="zh-CN"/>
          </w:rPr>
          <w:fldChar w:fldCharType="end"/>
        </w:r>
      </w:p>
    </w:sdtContent>
  </w:sdt>
  <w:p w14:paraId="648D617E">
    <w:pPr>
      <w:pStyle w:val="31"/>
      <w:ind w:firstLine="180" w:firstLineChars="10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D8AE5"/>
    <w:multiLevelType w:val="singleLevel"/>
    <w:tmpl w:val="907D8AE5"/>
    <w:lvl w:ilvl="0" w:tentative="0">
      <w:start w:val="3"/>
      <w:numFmt w:val="decimal"/>
      <w:lvlText w:val="%1."/>
      <w:lvlJc w:val="left"/>
      <w:pPr>
        <w:tabs>
          <w:tab w:val="left" w:pos="312"/>
        </w:tabs>
      </w:pPr>
    </w:lvl>
  </w:abstractNum>
  <w:abstractNum w:abstractNumId="1">
    <w:nsid w:val="18CB67E0"/>
    <w:multiLevelType w:val="multilevel"/>
    <w:tmpl w:val="18CB67E0"/>
    <w:lvl w:ilvl="0" w:tentative="0">
      <w:start w:val="1"/>
      <w:numFmt w:val="decimal"/>
      <w:lvlText w:val="1.%1"/>
      <w:lvlJc w:val="left"/>
      <w:pPr>
        <w:tabs>
          <w:tab w:val="left" w:pos="425"/>
        </w:tabs>
        <w:ind w:left="425" w:hanging="425"/>
      </w:pPr>
      <w:rPr>
        <w:rFonts w:hint="eastAsia"/>
      </w:rPr>
    </w:lvl>
    <w:lvl w:ilvl="1" w:tentative="0">
      <w:start w:val="1"/>
      <w:numFmt w:val="decimal"/>
      <w:lvlText w:val="2.%2."/>
      <w:lvlJc w:val="left"/>
      <w:pPr>
        <w:tabs>
          <w:tab w:val="left" w:pos="845"/>
        </w:tabs>
        <w:ind w:left="845" w:hanging="420"/>
      </w:pPr>
      <w:rPr>
        <w:rFonts w:hint="eastAsia" w:ascii="宋体" w:hAnsi="宋体" w:eastAsia="宋体"/>
      </w:rPr>
    </w:lvl>
    <w:lvl w:ilvl="2" w:tentative="0">
      <w:start w:val="1"/>
      <w:numFmt w:val="decimal"/>
      <w:lvlText w:val="附件8－%3."/>
      <w:lvlJc w:val="left"/>
      <w:pPr>
        <w:tabs>
          <w:tab w:val="left" w:pos="2291"/>
        </w:tabs>
        <w:ind w:left="1418" w:hanging="567"/>
      </w:pPr>
      <w:rPr>
        <w:rFonts w:hint="eastAsia"/>
      </w:rPr>
    </w:lvl>
    <w:lvl w:ilvl="3" w:tentative="0">
      <w:start w:val="1"/>
      <w:numFmt w:val="decimal"/>
      <w:lvlText w:val="%1.%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A4D27E2"/>
    <w:multiLevelType w:val="multilevel"/>
    <w:tmpl w:val="1A4D27E2"/>
    <w:lvl w:ilvl="0" w:tentative="0">
      <w:start w:val="1"/>
      <w:numFmt w:val="decimal"/>
      <w:lvlText w:val="%1."/>
      <w:lvlJc w:val="left"/>
      <w:pPr>
        <w:tabs>
          <w:tab w:val="left" w:pos="891"/>
        </w:tabs>
        <w:ind w:left="891" w:hanging="420"/>
      </w:pPr>
      <w:rPr>
        <w:rFonts w:hint="eastAsia"/>
        <w:b/>
        <w:i w:val="0"/>
      </w:rPr>
    </w:lvl>
    <w:lvl w:ilvl="1" w:tentative="0">
      <w:start w:val="1"/>
      <w:numFmt w:val="decimal"/>
      <w:lvlText w:val="%2．"/>
      <w:lvlJc w:val="left"/>
      <w:pPr>
        <w:tabs>
          <w:tab w:val="left" w:pos="1251"/>
        </w:tabs>
        <w:ind w:left="1251" w:hanging="360"/>
      </w:pPr>
      <w:rPr>
        <w:rFonts w:hint="default"/>
      </w:rPr>
    </w:lvl>
    <w:lvl w:ilvl="2" w:tentative="0">
      <w:start w:val="2"/>
      <w:numFmt w:val="decimalEnclosedParen"/>
      <w:lvlText w:val="%3"/>
      <w:lvlJc w:val="left"/>
      <w:pPr>
        <w:ind w:left="1671" w:hanging="360"/>
      </w:pPr>
      <w:rPr>
        <w:rFonts w:hint="default"/>
      </w:rPr>
    </w:lvl>
    <w:lvl w:ilvl="3" w:tentative="0">
      <w:start w:val="1"/>
      <w:numFmt w:val="decimal"/>
      <w:lvlText w:val="%4."/>
      <w:lvlJc w:val="left"/>
      <w:pPr>
        <w:tabs>
          <w:tab w:val="left" w:pos="2151"/>
        </w:tabs>
        <w:ind w:left="2151" w:hanging="420"/>
      </w:pPr>
    </w:lvl>
    <w:lvl w:ilvl="4" w:tentative="0">
      <w:start w:val="1"/>
      <w:numFmt w:val="lowerLetter"/>
      <w:lvlText w:val="%5)"/>
      <w:lvlJc w:val="left"/>
      <w:pPr>
        <w:tabs>
          <w:tab w:val="left" w:pos="2571"/>
        </w:tabs>
        <w:ind w:left="2571" w:hanging="420"/>
      </w:pPr>
    </w:lvl>
    <w:lvl w:ilvl="5" w:tentative="0">
      <w:start w:val="1"/>
      <w:numFmt w:val="lowerRoman"/>
      <w:lvlText w:val="%6."/>
      <w:lvlJc w:val="right"/>
      <w:pPr>
        <w:tabs>
          <w:tab w:val="left" w:pos="2991"/>
        </w:tabs>
        <w:ind w:left="2991" w:hanging="420"/>
      </w:pPr>
    </w:lvl>
    <w:lvl w:ilvl="6" w:tentative="0">
      <w:start w:val="1"/>
      <w:numFmt w:val="decimal"/>
      <w:lvlText w:val="%7."/>
      <w:lvlJc w:val="left"/>
      <w:pPr>
        <w:tabs>
          <w:tab w:val="left" w:pos="3411"/>
        </w:tabs>
        <w:ind w:left="3411" w:hanging="420"/>
      </w:pPr>
    </w:lvl>
    <w:lvl w:ilvl="7" w:tentative="0">
      <w:start w:val="1"/>
      <w:numFmt w:val="lowerLetter"/>
      <w:lvlText w:val="%8)"/>
      <w:lvlJc w:val="left"/>
      <w:pPr>
        <w:tabs>
          <w:tab w:val="left" w:pos="3831"/>
        </w:tabs>
        <w:ind w:left="3831" w:hanging="420"/>
      </w:pPr>
    </w:lvl>
    <w:lvl w:ilvl="8" w:tentative="0">
      <w:start w:val="1"/>
      <w:numFmt w:val="lowerRoman"/>
      <w:lvlText w:val="%9."/>
      <w:lvlJc w:val="right"/>
      <w:pPr>
        <w:tabs>
          <w:tab w:val="left" w:pos="4251"/>
        </w:tabs>
        <w:ind w:left="4251" w:hanging="420"/>
      </w:pPr>
    </w:lvl>
  </w:abstractNum>
  <w:abstractNum w:abstractNumId="3">
    <w:nsid w:val="23E3083D"/>
    <w:multiLevelType w:val="singleLevel"/>
    <w:tmpl w:val="23E3083D"/>
    <w:lvl w:ilvl="0" w:tentative="0">
      <w:start w:val="1"/>
      <w:numFmt w:val="decimal"/>
      <w:suff w:val="nothing"/>
      <w:lvlText w:val="（%1）"/>
      <w:lvlJc w:val="left"/>
    </w:lvl>
  </w:abstractNum>
  <w:abstractNum w:abstractNumId="4">
    <w:nsid w:val="5AC27D36"/>
    <w:multiLevelType w:val="multilevel"/>
    <w:tmpl w:val="5AC27D36"/>
    <w:lvl w:ilvl="0" w:tentative="0">
      <w:start w:val="1"/>
      <w:numFmt w:val="decimal"/>
      <w:lvlText w:val="1.%1"/>
      <w:lvlJc w:val="left"/>
      <w:pPr>
        <w:tabs>
          <w:tab w:val="left" w:pos="425"/>
        </w:tabs>
        <w:ind w:left="425" w:hanging="425"/>
      </w:pPr>
      <w:rPr>
        <w:rFonts w:hint="eastAsia"/>
      </w:rPr>
    </w:lvl>
    <w:lvl w:ilvl="1" w:tentative="0">
      <w:start w:val="1"/>
      <w:numFmt w:val="decimal"/>
      <w:lvlText w:val="1.%2."/>
      <w:lvlJc w:val="left"/>
      <w:pPr>
        <w:tabs>
          <w:tab w:val="left" w:pos="845"/>
        </w:tabs>
        <w:ind w:left="845" w:hanging="420"/>
      </w:pPr>
      <w:rPr>
        <w:rFonts w:hint="eastAsia" w:ascii="宋体" w:hAnsi="宋体" w:eastAsia="宋体"/>
      </w:rPr>
    </w:lvl>
    <w:lvl w:ilvl="2" w:tentative="0">
      <w:start w:val="1"/>
      <w:numFmt w:val="decimal"/>
      <w:lvlText w:val="附件8－%3."/>
      <w:lvlJc w:val="left"/>
      <w:pPr>
        <w:tabs>
          <w:tab w:val="left" w:pos="2291"/>
        </w:tabs>
        <w:ind w:left="1418" w:hanging="567"/>
      </w:pPr>
      <w:rPr>
        <w:rFonts w:hint="eastAsia"/>
      </w:rPr>
    </w:lvl>
    <w:lvl w:ilvl="3" w:tentative="0">
      <w:start w:val="1"/>
      <w:numFmt w:val="decimal"/>
      <w:lvlText w:val="%1.%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16DA72"/>
    <w:multiLevelType w:val="singleLevel"/>
    <w:tmpl w:val="6516DA72"/>
    <w:lvl w:ilvl="0" w:tentative="0">
      <w:start w:val="4"/>
      <w:numFmt w:val="decimal"/>
      <w:suff w:val="nothing"/>
      <w:lvlText w:val="%1、"/>
      <w:lvlJc w:val="left"/>
    </w:lvl>
  </w:abstractNum>
  <w:abstractNum w:abstractNumId="6">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Y2Q5NWIyMjc3NDg4YzE3YjBkZTRmYjgyN2RlZTkifQ=="/>
  </w:docVars>
  <w:rsids>
    <w:rsidRoot w:val="009D44D5"/>
    <w:rsid w:val="0000099A"/>
    <w:rsid w:val="000013B1"/>
    <w:rsid w:val="000044C6"/>
    <w:rsid w:val="00004E1D"/>
    <w:rsid w:val="0000642C"/>
    <w:rsid w:val="0000647F"/>
    <w:rsid w:val="00006825"/>
    <w:rsid w:val="00007BF9"/>
    <w:rsid w:val="00007DC3"/>
    <w:rsid w:val="00007FFB"/>
    <w:rsid w:val="000117F1"/>
    <w:rsid w:val="0001390D"/>
    <w:rsid w:val="00021F0C"/>
    <w:rsid w:val="000255EB"/>
    <w:rsid w:val="0003275F"/>
    <w:rsid w:val="00032E7C"/>
    <w:rsid w:val="00042755"/>
    <w:rsid w:val="00046C6D"/>
    <w:rsid w:val="00050D27"/>
    <w:rsid w:val="00051332"/>
    <w:rsid w:val="000535D2"/>
    <w:rsid w:val="000557C0"/>
    <w:rsid w:val="0005596C"/>
    <w:rsid w:val="00063373"/>
    <w:rsid w:val="00070BD4"/>
    <w:rsid w:val="0007124D"/>
    <w:rsid w:val="00072376"/>
    <w:rsid w:val="00074B0B"/>
    <w:rsid w:val="0007577D"/>
    <w:rsid w:val="00082201"/>
    <w:rsid w:val="0008598A"/>
    <w:rsid w:val="00087462"/>
    <w:rsid w:val="00091450"/>
    <w:rsid w:val="00095DB9"/>
    <w:rsid w:val="00096358"/>
    <w:rsid w:val="000A087F"/>
    <w:rsid w:val="000A2A2D"/>
    <w:rsid w:val="000A3FDA"/>
    <w:rsid w:val="000A5C02"/>
    <w:rsid w:val="000A6D71"/>
    <w:rsid w:val="000B1540"/>
    <w:rsid w:val="000B4E83"/>
    <w:rsid w:val="000B698A"/>
    <w:rsid w:val="000C357B"/>
    <w:rsid w:val="000D324B"/>
    <w:rsid w:val="000D5F53"/>
    <w:rsid w:val="000E03E9"/>
    <w:rsid w:val="000E187E"/>
    <w:rsid w:val="000E4A89"/>
    <w:rsid w:val="000E5693"/>
    <w:rsid w:val="000E6641"/>
    <w:rsid w:val="000F0F0E"/>
    <w:rsid w:val="000F1390"/>
    <w:rsid w:val="000F20FE"/>
    <w:rsid w:val="000F2AC0"/>
    <w:rsid w:val="000F2F89"/>
    <w:rsid w:val="000F4388"/>
    <w:rsid w:val="000F4F7D"/>
    <w:rsid w:val="000F6A4B"/>
    <w:rsid w:val="000F7470"/>
    <w:rsid w:val="000F7C33"/>
    <w:rsid w:val="001000E2"/>
    <w:rsid w:val="00106160"/>
    <w:rsid w:val="00106C13"/>
    <w:rsid w:val="001124DB"/>
    <w:rsid w:val="00114A9F"/>
    <w:rsid w:val="00116B85"/>
    <w:rsid w:val="001230ED"/>
    <w:rsid w:val="00124109"/>
    <w:rsid w:val="00125A43"/>
    <w:rsid w:val="00134C70"/>
    <w:rsid w:val="00135C58"/>
    <w:rsid w:val="00137472"/>
    <w:rsid w:val="001415D9"/>
    <w:rsid w:val="0014581A"/>
    <w:rsid w:val="00147733"/>
    <w:rsid w:val="0015197E"/>
    <w:rsid w:val="00153086"/>
    <w:rsid w:val="00154D1D"/>
    <w:rsid w:val="0016289C"/>
    <w:rsid w:val="00164A93"/>
    <w:rsid w:val="00165490"/>
    <w:rsid w:val="001706CD"/>
    <w:rsid w:val="00170DD0"/>
    <w:rsid w:val="00171363"/>
    <w:rsid w:val="001738DF"/>
    <w:rsid w:val="00174DAA"/>
    <w:rsid w:val="00177CF6"/>
    <w:rsid w:val="00177FB6"/>
    <w:rsid w:val="001815A6"/>
    <w:rsid w:val="00183ABF"/>
    <w:rsid w:val="00184A18"/>
    <w:rsid w:val="00190AAE"/>
    <w:rsid w:val="00196C27"/>
    <w:rsid w:val="001A0CC4"/>
    <w:rsid w:val="001A165F"/>
    <w:rsid w:val="001A1FD7"/>
    <w:rsid w:val="001A62B0"/>
    <w:rsid w:val="001A7214"/>
    <w:rsid w:val="001B2E0B"/>
    <w:rsid w:val="001B4162"/>
    <w:rsid w:val="001C1A7D"/>
    <w:rsid w:val="001C1DDF"/>
    <w:rsid w:val="001C2A82"/>
    <w:rsid w:val="001C3404"/>
    <w:rsid w:val="001C441C"/>
    <w:rsid w:val="001C4C0D"/>
    <w:rsid w:val="001C62A6"/>
    <w:rsid w:val="001D294B"/>
    <w:rsid w:val="001D2BC7"/>
    <w:rsid w:val="001D4F1A"/>
    <w:rsid w:val="001D6083"/>
    <w:rsid w:val="001E27E9"/>
    <w:rsid w:val="001E3AB7"/>
    <w:rsid w:val="001E43B9"/>
    <w:rsid w:val="001E5CF0"/>
    <w:rsid w:val="001E6476"/>
    <w:rsid w:val="001F14CE"/>
    <w:rsid w:val="001F1F82"/>
    <w:rsid w:val="001F38B6"/>
    <w:rsid w:val="00200A12"/>
    <w:rsid w:val="00205785"/>
    <w:rsid w:val="00205ECD"/>
    <w:rsid w:val="00206EFA"/>
    <w:rsid w:val="002108C2"/>
    <w:rsid w:val="00211B3A"/>
    <w:rsid w:val="002128D7"/>
    <w:rsid w:val="00214C50"/>
    <w:rsid w:val="002168AB"/>
    <w:rsid w:val="00216C52"/>
    <w:rsid w:val="00221897"/>
    <w:rsid w:val="00222CFA"/>
    <w:rsid w:val="0022343C"/>
    <w:rsid w:val="0022694B"/>
    <w:rsid w:val="00231B71"/>
    <w:rsid w:val="00233565"/>
    <w:rsid w:val="00233AF2"/>
    <w:rsid w:val="00236203"/>
    <w:rsid w:val="00236F9C"/>
    <w:rsid w:val="00240521"/>
    <w:rsid w:val="0024111C"/>
    <w:rsid w:val="00241939"/>
    <w:rsid w:val="00245B04"/>
    <w:rsid w:val="00246241"/>
    <w:rsid w:val="002510E1"/>
    <w:rsid w:val="00252133"/>
    <w:rsid w:val="00253F55"/>
    <w:rsid w:val="00257617"/>
    <w:rsid w:val="00257715"/>
    <w:rsid w:val="00257E5F"/>
    <w:rsid w:val="00260DB5"/>
    <w:rsid w:val="002651B1"/>
    <w:rsid w:val="00265D56"/>
    <w:rsid w:val="0027045F"/>
    <w:rsid w:val="00271BF9"/>
    <w:rsid w:val="0027272A"/>
    <w:rsid w:val="00272838"/>
    <w:rsid w:val="00274EAB"/>
    <w:rsid w:val="0027547F"/>
    <w:rsid w:val="00275FF3"/>
    <w:rsid w:val="002768FD"/>
    <w:rsid w:val="00277F72"/>
    <w:rsid w:val="002844D1"/>
    <w:rsid w:val="00284697"/>
    <w:rsid w:val="002922C1"/>
    <w:rsid w:val="00295455"/>
    <w:rsid w:val="002A45D4"/>
    <w:rsid w:val="002A6143"/>
    <w:rsid w:val="002A6A10"/>
    <w:rsid w:val="002A7483"/>
    <w:rsid w:val="002B2E07"/>
    <w:rsid w:val="002B62AF"/>
    <w:rsid w:val="002B71A7"/>
    <w:rsid w:val="002C4BC0"/>
    <w:rsid w:val="002D0143"/>
    <w:rsid w:val="002D2F60"/>
    <w:rsid w:val="002D7A5C"/>
    <w:rsid w:val="002E02F1"/>
    <w:rsid w:val="002E058B"/>
    <w:rsid w:val="002E066C"/>
    <w:rsid w:val="002E0A26"/>
    <w:rsid w:val="002E1D26"/>
    <w:rsid w:val="002E498A"/>
    <w:rsid w:val="002E53EB"/>
    <w:rsid w:val="002E540F"/>
    <w:rsid w:val="002E64D5"/>
    <w:rsid w:val="002F072D"/>
    <w:rsid w:val="002F1788"/>
    <w:rsid w:val="002F376F"/>
    <w:rsid w:val="002F43FE"/>
    <w:rsid w:val="002F5E65"/>
    <w:rsid w:val="002F7806"/>
    <w:rsid w:val="003034AA"/>
    <w:rsid w:val="00304D32"/>
    <w:rsid w:val="00305251"/>
    <w:rsid w:val="00310CEC"/>
    <w:rsid w:val="0031203F"/>
    <w:rsid w:val="003131DA"/>
    <w:rsid w:val="0031344C"/>
    <w:rsid w:val="00313698"/>
    <w:rsid w:val="003146AB"/>
    <w:rsid w:val="0031524C"/>
    <w:rsid w:val="003157A1"/>
    <w:rsid w:val="0032284D"/>
    <w:rsid w:val="003244F6"/>
    <w:rsid w:val="0032489F"/>
    <w:rsid w:val="0032778A"/>
    <w:rsid w:val="00334A72"/>
    <w:rsid w:val="00337AA6"/>
    <w:rsid w:val="00340D51"/>
    <w:rsid w:val="00347976"/>
    <w:rsid w:val="00347FF5"/>
    <w:rsid w:val="003504C4"/>
    <w:rsid w:val="0035435C"/>
    <w:rsid w:val="00354B4D"/>
    <w:rsid w:val="003612FA"/>
    <w:rsid w:val="00362387"/>
    <w:rsid w:val="0036340A"/>
    <w:rsid w:val="0036369A"/>
    <w:rsid w:val="00363838"/>
    <w:rsid w:val="003643C8"/>
    <w:rsid w:val="00364550"/>
    <w:rsid w:val="003661E6"/>
    <w:rsid w:val="00367337"/>
    <w:rsid w:val="00374146"/>
    <w:rsid w:val="003741AD"/>
    <w:rsid w:val="00375553"/>
    <w:rsid w:val="00375745"/>
    <w:rsid w:val="00375C8A"/>
    <w:rsid w:val="00382B45"/>
    <w:rsid w:val="00383747"/>
    <w:rsid w:val="00383D0A"/>
    <w:rsid w:val="0038700B"/>
    <w:rsid w:val="00390413"/>
    <w:rsid w:val="00392678"/>
    <w:rsid w:val="00392F31"/>
    <w:rsid w:val="00396AC3"/>
    <w:rsid w:val="003A0C44"/>
    <w:rsid w:val="003A16FB"/>
    <w:rsid w:val="003A53F6"/>
    <w:rsid w:val="003A6B28"/>
    <w:rsid w:val="003B146A"/>
    <w:rsid w:val="003C0A7C"/>
    <w:rsid w:val="003C2F14"/>
    <w:rsid w:val="003D5A1B"/>
    <w:rsid w:val="003D673F"/>
    <w:rsid w:val="003E10DD"/>
    <w:rsid w:val="003E3660"/>
    <w:rsid w:val="003E5E25"/>
    <w:rsid w:val="003E708A"/>
    <w:rsid w:val="003F04D4"/>
    <w:rsid w:val="003F0E59"/>
    <w:rsid w:val="003F0F5C"/>
    <w:rsid w:val="003F2556"/>
    <w:rsid w:val="003F512E"/>
    <w:rsid w:val="003F76A0"/>
    <w:rsid w:val="00400016"/>
    <w:rsid w:val="00401F0D"/>
    <w:rsid w:val="00404968"/>
    <w:rsid w:val="00406232"/>
    <w:rsid w:val="00406F36"/>
    <w:rsid w:val="00412632"/>
    <w:rsid w:val="004127BF"/>
    <w:rsid w:val="0041421B"/>
    <w:rsid w:val="00422D1F"/>
    <w:rsid w:val="00424BAA"/>
    <w:rsid w:val="00430239"/>
    <w:rsid w:val="00432AE8"/>
    <w:rsid w:val="00435828"/>
    <w:rsid w:val="00435D1A"/>
    <w:rsid w:val="00444BD2"/>
    <w:rsid w:val="00445133"/>
    <w:rsid w:val="004467BF"/>
    <w:rsid w:val="004526ED"/>
    <w:rsid w:val="00453DAB"/>
    <w:rsid w:val="00454E58"/>
    <w:rsid w:val="00455D7A"/>
    <w:rsid w:val="00456C1F"/>
    <w:rsid w:val="004574DD"/>
    <w:rsid w:val="00470079"/>
    <w:rsid w:val="00470E3F"/>
    <w:rsid w:val="00474750"/>
    <w:rsid w:val="00475A78"/>
    <w:rsid w:val="0047677F"/>
    <w:rsid w:val="00477E92"/>
    <w:rsid w:val="004805B5"/>
    <w:rsid w:val="00481CA7"/>
    <w:rsid w:val="00482882"/>
    <w:rsid w:val="00483248"/>
    <w:rsid w:val="004839AB"/>
    <w:rsid w:val="0048577C"/>
    <w:rsid w:val="004871A4"/>
    <w:rsid w:val="00487C47"/>
    <w:rsid w:val="00490C40"/>
    <w:rsid w:val="004911FA"/>
    <w:rsid w:val="004928C8"/>
    <w:rsid w:val="00492922"/>
    <w:rsid w:val="00493351"/>
    <w:rsid w:val="004A00A1"/>
    <w:rsid w:val="004A666A"/>
    <w:rsid w:val="004B1C8A"/>
    <w:rsid w:val="004B3522"/>
    <w:rsid w:val="004B36AD"/>
    <w:rsid w:val="004B39E8"/>
    <w:rsid w:val="004B4931"/>
    <w:rsid w:val="004C2CFA"/>
    <w:rsid w:val="004C4724"/>
    <w:rsid w:val="004C7FCC"/>
    <w:rsid w:val="004D37B6"/>
    <w:rsid w:val="004D3F0C"/>
    <w:rsid w:val="004D40B3"/>
    <w:rsid w:val="004E7EA6"/>
    <w:rsid w:val="004F3CD4"/>
    <w:rsid w:val="004F59CB"/>
    <w:rsid w:val="00500358"/>
    <w:rsid w:val="005024C2"/>
    <w:rsid w:val="005055D2"/>
    <w:rsid w:val="0050647D"/>
    <w:rsid w:val="0050765F"/>
    <w:rsid w:val="00510F67"/>
    <w:rsid w:val="0051270A"/>
    <w:rsid w:val="0051508F"/>
    <w:rsid w:val="00516B5F"/>
    <w:rsid w:val="00520CCF"/>
    <w:rsid w:val="00526498"/>
    <w:rsid w:val="00526776"/>
    <w:rsid w:val="00527FE3"/>
    <w:rsid w:val="0053545A"/>
    <w:rsid w:val="005355D8"/>
    <w:rsid w:val="005361E7"/>
    <w:rsid w:val="00536E16"/>
    <w:rsid w:val="00537662"/>
    <w:rsid w:val="00546FA8"/>
    <w:rsid w:val="005475A4"/>
    <w:rsid w:val="00551EE8"/>
    <w:rsid w:val="00554900"/>
    <w:rsid w:val="00557FA0"/>
    <w:rsid w:val="005720C3"/>
    <w:rsid w:val="005744EC"/>
    <w:rsid w:val="00574E83"/>
    <w:rsid w:val="00575908"/>
    <w:rsid w:val="005807A8"/>
    <w:rsid w:val="005827A9"/>
    <w:rsid w:val="00584485"/>
    <w:rsid w:val="00590679"/>
    <w:rsid w:val="005917C8"/>
    <w:rsid w:val="00593986"/>
    <w:rsid w:val="00594B0D"/>
    <w:rsid w:val="00596E6D"/>
    <w:rsid w:val="005970F5"/>
    <w:rsid w:val="005A1570"/>
    <w:rsid w:val="005A2CF6"/>
    <w:rsid w:val="005A59CF"/>
    <w:rsid w:val="005A611D"/>
    <w:rsid w:val="005A7F0C"/>
    <w:rsid w:val="005B0A4D"/>
    <w:rsid w:val="005B0F91"/>
    <w:rsid w:val="005B1960"/>
    <w:rsid w:val="005B2B87"/>
    <w:rsid w:val="005B617E"/>
    <w:rsid w:val="005C20F1"/>
    <w:rsid w:val="005C4065"/>
    <w:rsid w:val="005C5AC1"/>
    <w:rsid w:val="005D0495"/>
    <w:rsid w:val="005D1560"/>
    <w:rsid w:val="005D1AB5"/>
    <w:rsid w:val="005D2FEB"/>
    <w:rsid w:val="005D638F"/>
    <w:rsid w:val="005D6645"/>
    <w:rsid w:val="005E0275"/>
    <w:rsid w:val="005E175E"/>
    <w:rsid w:val="005E598E"/>
    <w:rsid w:val="005E5E09"/>
    <w:rsid w:val="005F155E"/>
    <w:rsid w:val="005F1FCF"/>
    <w:rsid w:val="005F22BF"/>
    <w:rsid w:val="005F375C"/>
    <w:rsid w:val="005F6691"/>
    <w:rsid w:val="0060371B"/>
    <w:rsid w:val="00604BF9"/>
    <w:rsid w:val="00606229"/>
    <w:rsid w:val="00606CBF"/>
    <w:rsid w:val="00610225"/>
    <w:rsid w:val="006102A7"/>
    <w:rsid w:val="00615109"/>
    <w:rsid w:val="00615C41"/>
    <w:rsid w:val="00616F56"/>
    <w:rsid w:val="00620027"/>
    <w:rsid w:val="006204DE"/>
    <w:rsid w:val="0062525F"/>
    <w:rsid w:val="00626BF1"/>
    <w:rsid w:val="0063300C"/>
    <w:rsid w:val="006362D2"/>
    <w:rsid w:val="006374BE"/>
    <w:rsid w:val="006379DB"/>
    <w:rsid w:val="006410FA"/>
    <w:rsid w:val="006415FF"/>
    <w:rsid w:val="0064168D"/>
    <w:rsid w:val="00641B2F"/>
    <w:rsid w:val="00641E5A"/>
    <w:rsid w:val="0064245A"/>
    <w:rsid w:val="00643C8C"/>
    <w:rsid w:val="00645780"/>
    <w:rsid w:val="00647DB1"/>
    <w:rsid w:val="006523C4"/>
    <w:rsid w:val="006717FE"/>
    <w:rsid w:val="00672DA1"/>
    <w:rsid w:val="006730A9"/>
    <w:rsid w:val="00674A0A"/>
    <w:rsid w:val="00674AF2"/>
    <w:rsid w:val="0067613A"/>
    <w:rsid w:val="00677089"/>
    <w:rsid w:val="00681EAE"/>
    <w:rsid w:val="006849E5"/>
    <w:rsid w:val="00684BD7"/>
    <w:rsid w:val="00694C27"/>
    <w:rsid w:val="00697B67"/>
    <w:rsid w:val="006A0CBC"/>
    <w:rsid w:val="006A3C47"/>
    <w:rsid w:val="006A4A13"/>
    <w:rsid w:val="006B290C"/>
    <w:rsid w:val="006B416C"/>
    <w:rsid w:val="006B6494"/>
    <w:rsid w:val="006C4A8B"/>
    <w:rsid w:val="006C6C13"/>
    <w:rsid w:val="006D03A0"/>
    <w:rsid w:val="006D4D75"/>
    <w:rsid w:val="006D5913"/>
    <w:rsid w:val="006E7511"/>
    <w:rsid w:val="007017A2"/>
    <w:rsid w:val="00701FE5"/>
    <w:rsid w:val="007037ED"/>
    <w:rsid w:val="00706E33"/>
    <w:rsid w:val="00707738"/>
    <w:rsid w:val="00710400"/>
    <w:rsid w:val="00713AF7"/>
    <w:rsid w:val="007158CB"/>
    <w:rsid w:val="00720B1E"/>
    <w:rsid w:val="00721495"/>
    <w:rsid w:val="00730E37"/>
    <w:rsid w:val="00732EC2"/>
    <w:rsid w:val="007351FC"/>
    <w:rsid w:val="00737867"/>
    <w:rsid w:val="007410BD"/>
    <w:rsid w:val="007415FC"/>
    <w:rsid w:val="00742D6C"/>
    <w:rsid w:val="0074317A"/>
    <w:rsid w:val="0074359C"/>
    <w:rsid w:val="00744598"/>
    <w:rsid w:val="0075001F"/>
    <w:rsid w:val="007513A5"/>
    <w:rsid w:val="00753499"/>
    <w:rsid w:val="00753C59"/>
    <w:rsid w:val="00756636"/>
    <w:rsid w:val="0076056B"/>
    <w:rsid w:val="00761678"/>
    <w:rsid w:val="007624C8"/>
    <w:rsid w:val="00766794"/>
    <w:rsid w:val="00772496"/>
    <w:rsid w:val="007732B1"/>
    <w:rsid w:val="007745A7"/>
    <w:rsid w:val="007773D3"/>
    <w:rsid w:val="00777AEA"/>
    <w:rsid w:val="007832EA"/>
    <w:rsid w:val="007841B4"/>
    <w:rsid w:val="007852B1"/>
    <w:rsid w:val="00793ECA"/>
    <w:rsid w:val="00796288"/>
    <w:rsid w:val="00797AD9"/>
    <w:rsid w:val="007A0187"/>
    <w:rsid w:val="007A0457"/>
    <w:rsid w:val="007A225E"/>
    <w:rsid w:val="007A26F3"/>
    <w:rsid w:val="007A3B08"/>
    <w:rsid w:val="007A495D"/>
    <w:rsid w:val="007B06A1"/>
    <w:rsid w:val="007B1E6A"/>
    <w:rsid w:val="007B239E"/>
    <w:rsid w:val="007C1048"/>
    <w:rsid w:val="007C353E"/>
    <w:rsid w:val="007C390F"/>
    <w:rsid w:val="007D2051"/>
    <w:rsid w:val="007D4D0B"/>
    <w:rsid w:val="007D5C6C"/>
    <w:rsid w:val="007D64D9"/>
    <w:rsid w:val="007E0DE9"/>
    <w:rsid w:val="007E3901"/>
    <w:rsid w:val="007E6BA7"/>
    <w:rsid w:val="007E7210"/>
    <w:rsid w:val="007F03B2"/>
    <w:rsid w:val="007F0501"/>
    <w:rsid w:val="007F5021"/>
    <w:rsid w:val="007F623E"/>
    <w:rsid w:val="007F77E4"/>
    <w:rsid w:val="0080136F"/>
    <w:rsid w:val="0080193A"/>
    <w:rsid w:val="00803F2A"/>
    <w:rsid w:val="008042D5"/>
    <w:rsid w:val="008047E6"/>
    <w:rsid w:val="00806BF8"/>
    <w:rsid w:val="00806F18"/>
    <w:rsid w:val="008145CE"/>
    <w:rsid w:val="008163CE"/>
    <w:rsid w:val="0082545B"/>
    <w:rsid w:val="00827D1D"/>
    <w:rsid w:val="008327C9"/>
    <w:rsid w:val="008361DE"/>
    <w:rsid w:val="00842C03"/>
    <w:rsid w:val="00843F07"/>
    <w:rsid w:val="0084594B"/>
    <w:rsid w:val="00846480"/>
    <w:rsid w:val="008501A1"/>
    <w:rsid w:val="00850347"/>
    <w:rsid w:val="0085102D"/>
    <w:rsid w:val="00860F68"/>
    <w:rsid w:val="00861D52"/>
    <w:rsid w:val="00862713"/>
    <w:rsid w:val="00862BFE"/>
    <w:rsid w:val="00862F82"/>
    <w:rsid w:val="0087058F"/>
    <w:rsid w:val="00870A7E"/>
    <w:rsid w:val="008729F4"/>
    <w:rsid w:val="00875682"/>
    <w:rsid w:val="00876044"/>
    <w:rsid w:val="00876433"/>
    <w:rsid w:val="00877253"/>
    <w:rsid w:val="00877313"/>
    <w:rsid w:val="0088590C"/>
    <w:rsid w:val="00890112"/>
    <w:rsid w:val="00893905"/>
    <w:rsid w:val="00894A2F"/>
    <w:rsid w:val="008957F9"/>
    <w:rsid w:val="008A1C00"/>
    <w:rsid w:val="008A2EB9"/>
    <w:rsid w:val="008A3E15"/>
    <w:rsid w:val="008B07CC"/>
    <w:rsid w:val="008B093F"/>
    <w:rsid w:val="008B1C1E"/>
    <w:rsid w:val="008B2833"/>
    <w:rsid w:val="008B69CA"/>
    <w:rsid w:val="008B78E5"/>
    <w:rsid w:val="008C05F8"/>
    <w:rsid w:val="008C36F9"/>
    <w:rsid w:val="008C3774"/>
    <w:rsid w:val="008C6ADF"/>
    <w:rsid w:val="008D0AAD"/>
    <w:rsid w:val="008E0F91"/>
    <w:rsid w:val="008E2DEE"/>
    <w:rsid w:val="008E517F"/>
    <w:rsid w:val="008E62AB"/>
    <w:rsid w:val="008F0858"/>
    <w:rsid w:val="008F291F"/>
    <w:rsid w:val="008F2DBD"/>
    <w:rsid w:val="0090082D"/>
    <w:rsid w:val="0090520A"/>
    <w:rsid w:val="00905999"/>
    <w:rsid w:val="00907FE6"/>
    <w:rsid w:val="00913744"/>
    <w:rsid w:val="009163CE"/>
    <w:rsid w:val="009224FF"/>
    <w:rsid w:val="00923DED"/>
    <w:rsid w:val="00924F17"/>
    <w:rsid w:val="00925EED"/>
    <w:rsid w:val="009279A6"/>
    <w:rsid w:val="00931070"/>
    <w:rsid w:val="009359A7"/>
    <w:rsid w:val="00935EE2"/>
    <w:rsid w:val="00942090"/>
    <w:rsid w:val="00944AC0"/>
    <w:rsid w:val="00945BEE"/>
    <w:rsid w:val="009511AD"/>
    <w:rsid w:val="009537C9"/>
    <w:rsid w:val="00960243"/>
    <w:rsid w:val="009637BE"/>
    <w:rsid w:val="00964618"/>
    <w:rsid w:val="009649E7"/>
    <w:rsid w:val="00965F21"/>
    <w:rsid w:val="0096601C"/>
    <w:rsid w:val="00967722"/>
    <w:rsid w:val="0097245B"/>
    <w:rsid w:val="00973733"/>
    <w:rsid w:val="00974A2E"/>
    <w:rsid w:val="0098259A"/>
    <w:rsid w:val="00984A4B"/>
    <w:rsid w:val="00985B00"/>
    <w:rsid w:val="00986D41"/>
    <w:rsid w:val="00992596"/>
    <w:rsid w:val="009925D2"/>
    <w:rsid w:val="0099292D"/>
    <w:rsid w:val="009931A9"/>
    <w:rsid w:val="00995971"/>
    <w:rsid w:val="009A0EE7"/>
    <w:rsid w:val="009A61C5"/>
    <w:rsid w:val="009B3D5F"/>
    <w:rsid w:val="009C4E85"/>
    <w:rsid w:val="009C6EB5"/>
    <w:rsid w:val="009D1192"/>
    <w:rsid w:val="009D32D8"/>
    <w:rsid w:val="009D44D5"/>
    <w:rsid w:val="009E3D51"/>
    <w:rsid w:val="009E462F"/>
    <w:rsid w:val="009E6608"/>
    <w:rsid w:val="009E7A28"/>
    <w:rsid w:val="009E7FAC"/>
    <w:rsid w:val="009F0DFC"/>
    <w:rsid w:val="009F1277"/>
    <w:rsid w:val="009F27B7"/>
    <w:rsid w:val="009F2C43"/>
    <w:rsid w:val="009F3800"/>
    <w:rsid w:val="009F3C43"/>
    <w:rsid w:val="009F7AEF"/>
    <w:rsid w:val="00A01CE1"/>
    <w:rsid w:val="00A05DB6"/>
    <w:rsid w:val="00A068A3"/>
    <w:rsid w:val="00A074EE"/>
    <w:rsid w:val="00A10BE8"/>
    <w:rsid w:val="00A11564"/>
    <w:rsid w:val="00A11DA8"/>
    <w:rsid w:val="00A171CB"/>
    <w:rsid w:val="00A211A2"/>
    <w:rsid w:val="00A239FA"/>
    <w:rsid w:val="00A35E57"/>
    <w:rsid w:val="00A36A90"/>
    <w:rsid w:val="00A37EBB"/>
    <w:rsid w:val="00A4097B"/>
    <w:rsid w:val="00A4097D"/>
    <w:rsid w:val="00A424B9"/>
    <w:rsid w:val="00A43AA8"/>
    <w:rsid w:val="00A50681"/>
    <w:rsid w:val="00A51309"/>
    <w:rsid w:val="00A51577"/>
    <w:rsid w:val="00A51C2B"/>
    <w:rsid w:val="00A51EAC"/>
    <w:rsid w:val="00A529A4"/>
    <w:rsid w:val="00A52BE8"/>
    <w:rsid w:val="00A52D68"/>
    <w:rsid w:val="00A53222"/>
    <w:rsid w:val="00A55CEF"/>
    <w:rsid w:val="00A56F19"/>
    <w:rsid w:val="00A57C3E"/>
    <w:rsid w:val="00A61E88"/>
    <w:rsid w:val="00A70E3D"/>
    <w:rsid w:val="00A751E1"/>
    <w:rsid w:val="00A804AE"/>
    <w:rsid w:val="00A821D7"/>
    <w:rsid w:val="00A828FF"/>
    <w:rsid w:val="00A838A7"/>
    <w:rsid w:val="00A83E2D"/>
    <w:rsid w:val="00A84874"/>
    <w:rsid w:val="00A854BD"/>
    <w:rsid w:val="00A85DCE"/>
    <w:rsid w:val="00A864D8"/>
    <w:rsid w:val="00A90761"/>
    <w:rsid w:val="00A919CC"/>
    <w:rsid w:val="00A940A2"/>
    <w:rsid w:val="00A95A99"/>
    <w:rsid w:val="00A97FD8"/>
    <w:rsid w:val="00AA4339"/>
    <w:rsid w:val="00AA462C"/>
    <w:rsid w:val="00AB0218"/>
    <w:rsid w:val="00AB27E1"/>
    <w:rsid w:val="00AC0B30"/>
    <w:rsid w:val="00AC2A74"/>
    <w:rsid w:val="00AC51A5"/>
    <w:rsid w:val="00AD0894"/>
    <w:rsid w:val="00AD5C35"/>
    <w:rsid w:val="00AD6F3B"/>
    <w:rsid w:val="00AE2C1E"/>
    <w:rsid w:val="00AE5085"/>
    <w:rsid w:val="00AF1E35"/>
    <w:rsid w:val="00AF2E47"/>
    <w:rsid w:val="00AF494B"/>
    <w:rsid w:val="00AF76B7"/>
    <w:rsid w:val="00B00B2C"/>
    <w:rsid w:val="00B02EE4"/>
    <w:rsid w:val="00B0450C"/>
    <w:rsid w:val="00B06F77"/>
    <w:rsid w:val="00B07102"/>
    <w:rsid w:val="00B130CE"/>
    <w:rsid w:val="00B177AE"/>
    <w:rsid w:val="00B27A9F"/>
    <w:rsid w:val="00B3016E"/>
    <w:rsid w:val="00B315E5"/>
    <w:rsid w:val="00B318B3"/>
    <w:rsid w:val="00B36F44"/>
    <w:rsid w:val="00B45EFD"/>
    <w:rsid w:val="00B526C7"/>
    <w:rsid w:val="00B552D7"/>
    <w:rsid w:val="00B626B6"/>
    <w:rsid w:val="00B66969"/>
    <w:rsid w:val="00B754BA"/>
    <w:rsid w:val="00B76D30"/>
    <w:rsid w:val="00B777D6"/>
    <w:rsid w:val="00B811BF"/>
    <w:rsid w:val="00B82108"/>
    <w:rsid w:val="00B855C8"/>
    <w:rsid w:val="00B951D9"/>
    <w:rsid w:val="00BA43FD"/>
    <w:rsid w:val="00BA6408"/>
    <w:rsid w:val="00BA79B9"/>
    <w:rsid w:val="00BB2B07"/>
    <w:rsid w:val="00BB4AFB"/>
    <w:rsid w:val="00BB4C71"/>
    <w:rsid w:val="00BB6361"/>
    <w:rsid w:val="00BB75DE"/>
    <w:rsid w:val="00BC0410"/>
    <w:rsid w:val="00BC6EDA"/>
    <w:rsid w:val="00BD1664"/>
    <w:rsid w:val="00BD495F"/>
    <w:rsid w:val="00BD4BA5"/>
    <w:rsid w:val="00BD4C05"/>
    <w:rsid w:val="00BE635C"/>
    <w:rsid w:val="00BF3BC5"/>
    <w:rsid w:val="00BF5AF4"/>
    <w:rsid w:val="00C01752"/>
    <w:rsid w:val="00C01D72"/>
    <w:rsid w:val="00C03CE7"/>
    <w:rsid w:val="00C05945"/>
    <w:rsid w:val="00C06FB6"/>
    <w:rsid w:val="00C07465"/>
    <w:rsid w:val="00C078B1"/>
    <w:rsid w:val="00C11FF3"/>
    <w:rsid w:val="00C1308A"/>
    <w:rsid w:val="00C1586E"/>
    <w:rsid w:val="00C16028"/>
    <w:rsid w:val="00C20F50"/>
    <w:rsid w:val="00C21185"/>
    <w:rsid w:val="00C22F15"/>
    <w:rsid w:val="00C245CA"/>
    <w:rsid w:val="00C2506F"/>
    <w:rsid w:val="00C25158"/>
    <w:rsid w:val="00C318AA"/>
    <w:rsid w:val="00C34C23"/>
    <w:rsid w:val="00C358A4"/>
    <w:rsid w:val="00C37089"/>
    <w:rsid w:val="00C4350A"/>
    <w:rsid w:val="00C50178"/>
    <w:rsid w:val="00C50DC5"/>
    <w:rsid w:val="00C53881"/>
    <w:rsid w:val="00C56980"/>
    <w:rsid w:val="00C576F4"/>
    <w:rsid w:val="00C6078E"/>
    <w:rsid w:val="00C63066"/>
    <w:rsid w:val="00C65E1C"/>
    <w:rsid w:val="00C65FA4"/>
    <w:rsid w:val="00C70722"/>
    <w:rsid w:val="00C71FA1"/>
    <w:rsid w:val="00C74E9A"/>
    <w:rsid w:val="00C82C2F"/>
    <w:rsid w:val="00C83ADD"/>
    <w:rsid w:val="00C841AD"/>
    <w:rsid w:val="00C90CAB"/>
    <w:rsid w:val="00C93447"/>
    <w:rsid w:val="00C963B7"/>
    <w:rsid w:val="00CA0B38"/>
    <w:rsid w:val="00CA0EDF"/>
    <w:rsid w:val="00CA1BD9"/>
    <w:rsid w:val="00CA6B3B"/>
    <w:rsid w:val="00CB06BD"/>
    <w:rsid w:val="00CB4A28"/>
    <w:rsid w:val="00CB5B66"/>
    <w:rsid w:val="00CC13F1"/>
    <w:rsid w:val="00CC50EA"/>
    <w:rsid w:val="00CC6602"/>
    <w:rsid w:val="00CD7A00"/>
    <w:rsid w:val="00CE0287"/>
    <w:rsid w:val="00CE08C1"/>
    <w:rsid w:val="00CE439A"/>
    <w:rsid w:val="00CE6FF1"/>
    <w:rsid w:val="00CE71CB"/>
    <w:rsid w:val="00CF1BF4"/>
    <w:rsid w:val="00CF4799"/>
    <w:rsid w:val="00D00CC5"/>
    <w:rsid w:val="00D02A2A"/>
    <w:rsid w:val="00D02BB1"/>
    <w:rsid w:val="00D1047A"/>
    <w:rsid w:val="00D12670"/>
    <w:rsid w:val="00D12F7C"/>
    <w:rsid w:val="00D13D18"/>
    <w:rsid w:val="00D208BD"/>
    <w:rsid w:val="00D2434F"/>
    <w:rsid w:val="00D25497"/>
    <w:rsid w:val="00D3048A"/>
    <w:rsid w:val="00D30CC2"/>
    <w:rsid w:val="00D30E08"/>
    <w:rsid w:val="00D31702"/>
    <w:rsid w:val="00D34319"/>
    <w:rsid w:val="00D403DF"/>
    <w:rsid w:val="00D40567"/>
    <w:rsid w:val="00D4057F"/>
    <w:rsid w:val="00D4420D"/>
    <w:rsid w:val="00D4566A"/>
    <w:rsid w:val="00D47EEE"/>
    <w:rsid w:val="00D50E38"/>
    <w:rsid w:val="00D51299"/>
    <w:rsid w:val="00D52250"/>
    <w:rsid w:val="00D66B2D"/>
    <w:rsid w:val="00D66D79"/>
    <w:rsid w:val="00D67086"/>
    <w:rsid w:val="00D733E0"/>
    <w:rsid w:val="00D8185A"/>
    <w:rsid w:val="00D85C43"/>
    <w:rsid w:val="00D96062"/>
    <w:rsid w:val="00D96A73"/>
    <w:rsid w:val="00DA1105"/>
    <w:rsid w:val="00DA37CF"/>
    <w:rsid w:val="00DA5F33"/>
    <w:rsid w:val="00DA6923"/>
    <w:rsid w:val="00DB5B7D"/>
    <w:rsid w:val="00DB6283"/>
    <w:rsid w:val="00DB77E9"/>
    <w:rsid w:val="00DC15EC"/>
    <w:rsid w:val="00DC21D3"/>
    <w:rsid w:val="00DC2CAF"/>
    <w:rsid w:val="00DC3139"/>
    <w:rsid w:val="00DC3957"/>
    <w:rsid w:val="00DC66D2"/>
    <w:rsid w:val="00DC7913"/>
    <w:rsid w:val="00DD2E8B"/>
    <w:rsid w:val="00DD4208"/>
    <w:rsid w:val="00DD64BC"/>
    <w:rsid w:val="00DD7678"/>
    <w:rsid w:val="00DE1211"/>
    <w:rsid w:val="00DE23D7"/>
    <w:rsid w:val="00DE66BE"/>
    <w:rsid w:val="00DE7988"/>
    <w:rsid w:val="00DF2C6B"/>
    <w:rsid w:val="00DF2E52"/>
    <w:rsid w:val="00DF42A2"/>
    <w:rsid w:val="00DF7C08"/>
    <w:rsid w:val="00E03FDD"/>
    <w:rsid w:val="00E05900"/>
    <w:rsid w:val="00E0662F"/>
    <w:rsid w:val="00E123C8"/>
    <w:rsid w:val="00E138BB"/>
    <w:rsid w:val="00E139F6"/>
    <w:rsid w:val="00E14900"/>
    <w:rsid w:val="00E15099"/>
    <w:rsid w:val="00E15608"/>
    <w:rsid w:val="00E15DEC"/>
    <w:rsid w:val="00E20E3B"/>
    <w:rsid w:val="00E25AB5"/>
    <w:rsid w:val="00E26383"/>
    <w:rsid w:val="00E270A9"/>
    <w:rsid w:val="00E314FC"/>
    <w:rsid w:val="00E3190F"/>
    <w:rsid w:val="00E335A2"/>
    <w:rsid w:val="00E37B15"/>
    <w:rsid w:val="00E41DBC"/>
    <w:rsid w:val="00E426E4"/>
    <w:rsid w:val="00E42B52"/>
    <w:rsid w:val="00E500FB"/>
    <w:rsid w:val="00E55AED"/>
    <w:rsid w:val="00E55DA6"/>
    <w:rsid w:val="00E6223B"/>
    <w:rsid w:val="00E62D6A"/>
    <w:rsid w:val="00E63EB2"/>
    <w:rsid w:val="00E66050"/>
    <w:rsid w:val="00E6638A"/>
    <w:rsid w:val="00E67883"/>
    <w:rsid w:val="00E709CA"/>
    <w:rsid w:val="00E76006"/>
    <w:rsid w:val="00E80F03"/>
    <w:rsid w:val="00E81469"/>
    <w:rsid w:val="00E8196B"/>
    <w:rsid w:val="00E86363"/>
    <w:rsid w:val="00E902B7"/>
    <w:rsid w:val="00E907D7"/>
    <w:rsid w:val="00E90A5A"/>
    <w:rsid w:val="00E9106C"/>
    <w:rsid w:val="00E970DA"/>
    <w:rsid w:val="00E976BF"/>
    <w:rsid w:val="00E97755"/>
    <w:rsid w:val="00E977CF"/>
    <w:rsid w:val="00EA3F2C"/>
    <w:rsid w:val="00EA7949"/>
    <w:rsid w:val="00EB3849"/>
    <w:rsid w:val="00EB3D77"/>
    <w:rsid w:val="00EB63ED"/>
    <w:rsid w:val="00EC1E8F"/>
    <w:rsid w:val="00EC6C30"/>
    <w:rsid w:val="00EC6C62"/>
    <w:rsid w:val="00EC7960"/>
    <w:rsid w:val="00EC7C46"/>
    <w:rsid w:val="00ED22E5"/>
    <w:rsid w:val="00ED3953"/>
    <w:rsid w:val="00ED5650"/>
    <w:rsid w:val="00ED65A9"/>
    <w:rsid w:val="00ED71E4"/>
    <w:rsid w:val="00ED7474"/>
    <w:rsid w:val="00ED7A2F"/>
    <w:rsid w:val="00EE0E40"/>
    <w:rsid w:val="00EE2C53"/>
    <w:rsid w:val="00EE46E2"/>
    <w:rsid w:val="00EE4CE6"/>
    <w:rsid w:val="00EF1FCC"/>
    <w:rsid w:val="00EF4C39"/>
    <w:rsid w:val="00EF6A5A"/>
    <w:rsid w:val="00F00179"/>
    <w:rsid w:val="00F036C7"/>
    <w:rsid w:val="00F0485C"/>
    <w:rsid w:val="00F10B3C"/>
    <w:rsid w:val="00F1189B"/>
    <w:rsid w:val="00F120C5"/>
    <w:rsid w:val="00F1320E"/>
    <w:rsid w:val="00F13613"/>
    <w:rsid w:val="00F139B0"/>
    <w:rsid w:val="00F17FB4"/>
    <w:rsid w:val="00F20BD5"/>
    <w:rsid w:val="00F21820"/>
    <w:rsid w:val="00F21AAD"/>
    <w:rsid w:val="00F21BA4"/>
    <w:rsid w:val="00F237C5"/>
    <w:rsid w:val="00F31686"/>
    <w:rsid w:val="00F32C33"/>
    <w:rsid w:val="00F3398C"/>
    <w:rsid w:val="00F34115"/>
    <w:rsid w:val="00F34451"/>
    <w:rsid w:val="00F36402"/>
    <w:rsid w:val="00F369A7"/>
    <w:rsid w:val="00F41EE7"/>
    <w:rsid w:val="00F4263C"/>
    <w:rsid w:val="00F525D6"/>
    <w:rsid w:val="00F55715"/>
    <w:rsid w:val="00F60454"/>
    <w:rsid w:val="00F62B55"/>
    <w:rsid w:val="00F659C0"/>
    <w:rsid w:val="00F670F8"/>
    <w:rsid w:val="00F74E3F"/>
    <w:rsid w:val="00F801A0"/>
    <w:rsid w:val="00F81363"/>
    <w:rsid w:val="00F84CD4"/>
    <w:rsid w:val="00F85AA7"/>
    <w:rsid w:val="00F92D30"/>
    <w:rsid w:val="00F92EF9"/>
    <w:rsid w:val="00F930B7"/>
    <w:rsid w:val="00F93DBF"/>
    <w:rsid w:val="00F95550"/>
    <w:rsid w:val="00F95C54"/>
    <w:rsid w:val="00F961DB"/>
    <w:rsid w:val="00F9712C"/>
    <w:rsid w:val="00FA2E79"/>
    <w:rsid w:val="00FA69A9"/>
    <w:rsid w:val="00FB202C"/>
    <w:rsid w:val="00FB5604"/>
    <w:rsid w:val="00FC1C97"/>
    <w:rsid w:val="00FC20C8"/>
    <w:rsid w:val="00FC3951"/>
    <w:rsid w:val="00FC57C5"/>
    <w:rsid w:val="00FC5FC3"/>
    <w:rsid w:val="00FD067E"/>
    <w:rsid w:val="00FD23B3"/>
    <w:rsid w:val="00FD2F95"/>
    <w:rsid w:val="00FD330C"/>
    <w:rsid w:val="00FD4443"/>
    <w:rsid w:val="00FD617B"/>
    <w:rsid w:val="00FD70D6"/>
    <w:rsid w:val="00FD7489"/>
    <w:rsid w:val="00FE40A2"/>
    <w:rsid w:val="00FE4EC1"/>
    <w:rsid w:val="00FE6477"/>
    <w:rsid w:val="00FE6C7A"/>
    <w:rsid w:val="00FE765E"/>
    <w:rsid w:val="00FE7911"/>
    <w:rsid w:val="00FF50B1"/>
    <w:rsid w:val="00FF751B"/>
    <w:rsid w:val="02626540"/>
    <w:rsid w:val="05D4286D"/>
    <w:rsid w:val="05D45005"/>
    <w:rsid w:val="06E15F8D"/>
    <w:rsid w:val="07CD444F"/>
    <w:rsid w:val="09347AB8"/>
    <w:rsid w:val="093B5C7C"/>
    <w:rsid w:val="0A4A64F7"/>
    <w:rsid w:val="0A984BB5"/>
    <w:rsid w:val="0B4200CF"/>
    <w:rsid w:val="0C552955"/>
    <w:rsid w:val="0E9135D6"/>
    <w:rsid w:val="0EC8145D"/>
    <w:rsid w:val="0ED65AC0"/>
    <w:rsid w:val="105F4800"/>
    <w:rsid w:val="15436065"/>
    <w:rsid w:val="15F65D9C"/>
    <w:rsid w:val="162E75CC"/>
    <w:rsid w:val="1B315FEE"/>
    <w:rsid w:val="1C3427BF"/>
    <w:rsid w:val="1CE96F86"/>
    <w:rsid w:val="1F0358E2"/>
    <w:rsid w:val="1F4209DD"/>
    <w:rsid w:val="22730B07"/>
    <w:rsid w:val="234D7DEC"/>
    <w:rsid w:val="24955C14"/>
    <w:rsid w:val="24AE5BA0"/>
    <w:rsid w:val="2545458A"/>
    <w:rsid w:val="25A071A1"/>
    <w:rsid w:val="26FA7D78"/>
    <w:rsid w:val="27BB07FE"/>
    <w:rsid w:val="2B3C6E08"/>
    <w:rsid w:val="2C7B7C0A"/>
    <w:rsid w:val="3428774A"/>
    <w:rsid w:val="344F3C87"/>
    <w:rsid w:val="34C208FD"/>
    <w:rsid w:val="34C5001D"/>
    <w:rsid w:val="34EF4842"/>
    <w:rsid w:val="352528B2"/>
    <w:rsid w:val="38E035B3"/>
    <w:rsid w:val="3AD1189A"/>
    <w:rsid w:val="3B205FEC"/>
    <w:rsid w:val="3B2408B2"/>
    <w:rsid w:val="3D630B50"/>
    <w:rsid w:val="422828B2"/>
    <w:rsid w:val="45833790"/>
    <w:rsid w:val="46386C71"/>
    <w:rsid w:val="4733182A"/>
    <w:rsid w:val="48387027"/>
    <w:rsid w:val="483C3E0E"/>
    <w:rsid w:val="4B0B7D7D"/>
    <w:rsid w:val="4C343844"/>
    <w:rsid w:val="4EE03A01"/>
    <w:rsid w:val="51EB5934"/>
    <w:rsid w:val="52546BE0"/>
    <w:rsid w:val="536B4DF4"/>
    <w:rsid w:val="54997CEF"/>
    <w:rsid w:val="54B97F12"/>
    <w:rsid w:val="55DD32FD"/>
    <w:rsid w:val="574C211D"/>
    <w:rsid w:val="57A6393E"/>
    <w:rsid w:val="57B04B89"/>
    <w:rsid w:val="58C7682F"/>
    <w:rsid w:val="59540DC6"/>
    <w:rsid w:val="59E53E1B"/>
    <w:rsid w:val="5C422AFB"/>
    <w:rsid w:val="5C4D655C"/>
    <w:rsid w:val="5CE9462C"/>
    <w:rsid w:val="5D3A0B18"/>
    <w:rsid w:val="626C104E"/>
    <w:rsid w:val="647245D4"/>
    <w:rsid w:val="67EA0267"/>
    <w:rsid w:val="68306927"/>
    <w:rsid w:val="69190A3A"/>
    <w:rsid w:val="69BA064D"/>
    <w:rsid w:val="6B513865"/>
    <w:rsid w:val="70AC2ED8"/>
    <w:rsid w:val="725024C9"/>
    <w:rsid w:val="747728A9"/>
    <w:rsid w:val="782B1807"/>
    <w:rsid w:val="78DD2BDC"/>
    <w:rsid w:val="7A9A4F1F"/>
    <w:rsid w:val="7AD23162"/>
    <w:rsid w:val="7BAB6B6D"/>
    <w:rsid w:val="7C070AEE"/>
    <w:rsid w:val="7E4D4360"/>
    <w:rsid w:val="7EB16AF4"/>
    <w:rsid w:val="7ED771A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5">
    <w:name w:val="heading 1"/>
    <w:basedOn w:val="1"/>
    <w:next w:val="1"/>
    <w:link w:val="66"/>
    <w:qFormat/>
    <w:uiPriority w:val="99"/>
    <w:pPr>
      <w:keepNext/>
      <w:keepLines/>
      <w:spacing w:before="340" w:after="330" w:line="578" w:lineRule="auto"/>
      <w:outlineLvl w:val="0"/>
    </w:pPr>
    <w:rPr>
      <w:rFonts w:ascii="Calibri" w:hAnsi="Calibri" w:eastAsia="楷体_GB2312" w:cs="Calibri"/>
      <w:b/>
      <w:bCs/>
      <w:kern w:val="44"/>
      <w:sz w:val="20"/>
      <w:szCs w:val="20"/>
    </w:rPr>
  </w:style>
  <w:style w:type="paragraph" w:styleId="6">
    <w:name w:val="heading 2"/>
    <w:basedOn w:val="1"/>
    <w:next w:val="1"/>
    <w:link w:val="67"/>
    <w:qFormat/>
    <w:uiPriority w:val="99"/>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7">
    <w:name w:val="heading 3"/>
    <w:basedOn w:val="1"/>
    <w:next w:val="1"/>
    <w:link w:val="68"/>
    <w:qFormat/>
    <w:uiPriority w:val="99"/>
    <w:pPr>
      <w:keepNext/>
      <w:keepLines/>
      <w:adjustRightInd w:val="0"/>
      <w:jc w:val="left"/>
      <w:textAlignment w:val="baseline"/>
      <w:outlineLvl w:val="2"/>
    </w:pPr>
    <w:rPr>
      <w:rFonts w:ascii="Calibri" w:hAnsi="Calibri" w:eastAsia="楷体_GB2312" w:cs="Calibri"/>
      <w:b/>
      <w:bCs/>
      <w:kern w:val="0"/>
      <w:sz w:val="20"/>
      <w:szCs w:val="20"/>
    </w:rPr>
  </w:style>
  <w:style w:type="paragraph" w:styleId="8">
    <w:name w:val="heading 4"/>
    <w:basedOn w:val="1"/>
    <w:next w:val="1"/>
    <w:link w:val="69"/>
    <w:qFormat/>
    <w:uiPriority w:val="99"/>
    <w:pPr>
      <w:keepNext/>
      <w:keepLines/>
      <w:spacing w:before="280" w:after="290" w:line="376" w:lineRule="auto"/>
      <w:outlineLvl w:val="3"/>
    </w:pPr>
    <w:rPr>
      <w:rFonts w:ascii="Cambria" w:hAnsi="Cambria" w:eastAsia="宋体" w:cs="Cambria"/>
      <w:b/>
      <w:bCs/>
      <w:kern w:val="0"/>
      <w:sz w:val="28"/>
      <w:szCs w:val="28"/>
    </w:rPr>
  </w:style>
  <w:style w:type="paragraph" w:styleId="9">
    <w:name w:val="heading 5"/>
    <w:basedOn w:val="1"/>
    <w:next w:val="10"/>
    <w:link w:val="70"/>
    <w:qFormat/>
    <w:uiPriority w:val="99"/>
    <w:pPr>
      <w:keepNext/>
      <w:keepLines/>
      <w:numPr>
        <w:ilvl w:val="4"/>
        <w:numId w:val="1"/>
      </w:numPr>
      <w:spacing w:before="280" w:after="290" w:line="376" w:lineRule="auto"/>
      <w:outlineLvl w:val="4"/>
    </w:pPr>
    <w:rPr>
      <w:rFonts w:ascii="宋体" w:hAnsi="Calibri" w:eastAsia="宋体" w:cs="宋体"/>
      <w:b/>
      <w:bCs/>
      <w:spacing w:val="-2"/>
      <w:kern w:val="0"/>
      <w:position w:val="-6"/>
      <w:sz w:val="20"/>
      <w:szCs w:val="20"/>
    </w:rPr>
  </w:style>
  <w:style w:type="paragraph" w:styleId="11">
    <w:name w:val="heading 6"/>
    <w:basedOn w:val="1"/>
    <w:next w:val="10"/>
    <w:link w:val="71"/>
    <w:qFormat/>
    <w:uiPriority w:val="99"/>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12">
    <w:name w:val="heading 7"/>
    <w:basedOn w:val="1"/>
    <w:next w:val="10"/>
    <w:link w:val="72"/>
    <w:qFormat/>
    <w:uiPriority w:val="99"/>
    <w:pPr>
      <w:keepNext/>
      <w:keepLines/>
      <w:numPr>
        <w:ilvl w:val="6"/>
        <w:numId w:val="1"/>
      </w:numPr>
      <w:spacing w:before="240" w:after="64" w:line="320" w:lineRule="auto"/>
      <w:outlineLvl w:val="6"/>
    </w:pPr>
    <w:rPr>
      <w:rFonts w:ascii="宋体" w:hAnsi="Calibri" w:eastAsia="宋体" w:cs="宋体"/>
      <w:b/>
      <w:bCs/>
      <w:spacing w:val="-2"/>
      <w:kern w:val="0"/>
      <w:position w:val="-6"/>
      <w:sz w:val="20"/>
      <w:szCs w:val="20"/>
    </w:rPr>
  </w:style>
  <w:style w:type="paragraph" w:styleId="13">
    <w:name w:val="heading 8"/>
    <w:basedOn w:val="1"/>
    <w:next w:val="10"/>
    <w:link w:val="73"/>
    <w:qFormat/>
    <w:uiPriority w:val="99"/>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4">
    <w:name w:val="heading 9"/>
    <w:basedOn w:val="1"/>
    <w:next w:val="10"/>
    <w:link w:val="74"/>
    <w:qFormat/>
    <w:uiPriority w:val="99"/>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9"/>
    <w:qFormat/>
    <w:locked/>
    <w:uiPriority w:val="0"/>
    <w:pPr>
      <w:spacing w:after="120"/>
      <w:ind w:left="420" w:leftChars="200" w:firstLine="420" w:firstLineChars="200"/>
    </w:pPr>
    <w:rPr>
      <w:kern w:val="2"/>
    </w:rPr>
  </w:style>
  <w:style w:type="paragraph" w:styleId="3">
    <w:name w:val="Body Text Indent"/>
    <w:basedOn w:val="1"/>
    <w:next w:val="4"/>
    <w:link w:val="124"/>
    <w:qFormat/>
    <w:uiPriority w:val="99"/>
    <w:pPr>
      <w:spacing w:line="520" w:lineRule="exact"/>
      <w:ind w:left="570"/>
    </w:pPr>
    <w:rPr>
      <w:rFonts w:ascii="Calibri" w:hAnsi="Calibri" w:eastAsia="宋体" w:cs="Calibri"/>
      <w:kern w:val="0"/>
    </w:rPr>
  </w:style>
  <w:style w:type="paragraph" w:styleId="4">
    <w:name w:val="envelope return"/>
    <w:basedOn w:val="1"/>
    <w:qFormat/>
    <w:locked/>
    <w:uiPriority w:val="99"/>
    <w:pPr>
      <w:snapToGrid w:val="0"/>
    </w:pPr>
    <w:rPr>
      <w:rFonts w:ascii="Arial" w:hAnsi="Arial" w:cs="Arial"/>
    </w:rPr>
  </w:style>
  <w:style w:type="paragraph" w:styleId="10">
    <w:name w:val="Normal Indent"/>
    <w:basedOn w:val="1"/>
    <w:link w:val="93"/>
    <w:qFormat/>
    <w:uiPriority w:val="0"/>
    <w:pPr>
      <w:adjustRightInd w:val="0"/>
      <w:ind w:firstLine="420"/>
      <w:jc w:val="left"/>
      <w:textAlignment w:val="baseline"/>
    </w:pPr>
    <w:rPr>
      <w:rFonts w:ascii="Calibri" w:hAnsi="Calibri" w:eastAsia="楷体_GB2312" w:cs="Calibri"/>
      <w:kern w:val="0"/>
      <w:sz w:val="20"/>
      <w:szCs w:val="20"/>
    </w:rPr>
  </w:style>
  <w:style w:type="paragraph" w:styleId="15">
    <w:name w:val="toc 7"/>
    <w:basedOn w:val="1"/>
    <w:next w:val="1"/>
    <w:semiHidden/>
    <w:qFormat/>
    <w:uiPriority w:val="99"/>
    <w:pPr>
      <w:ind w:left="2520"/>
    </w:pPr>
    <w:rPr>
      <w:rFonts w:eastAsia="楷体_GB2312"/>
      <w:sz w:val="26"/>
      <w:szCs w:val="26"/>
    </w:rPr>
  </w:style>
  <w:style w:type="paragraph" w:styleId="16">
    <w:name w:val="index 8"/>
    <w:basedOn w:val="1"/>
    <w:next w:val="1"/>
    <w:semiHidden/>
    <w:qFormat/>
    <w:uiPriority w:val="99"/>
    <w:pPr>
      <w:ind w:left="2940"/>
    </w:pPr>
    <w:rPr>
      <w:rFonts w:eastAsia="楷体_GB2312"/>
      <w:sz w:val="26"/>
      <w:szCs w:val="26"/>
    </w:rPr>
  </w:style>
  <w:style w:type="paragraph" w:styleId="17">
    <w:name w:val="index 5"/>
    <w:basedOn w:val="1"/>
    <w:next w:val="1"/>
    <w:semiHidden/>
    <w:qFormat/>
    <w:uiPriority w:val="99"/>
    <w:pPr>
      <w:ind w:left="1680"/>
    </w:pPr>
    <w:rPr>
      <w:rFonts w:eastAsia="楷体_GB2312"/>
      <w:sz w:val="26"/>
      <w:szCs w:val="26"/>
    </w:rPr>
  </w:style>
  <w:style w:type="paragraph" w:styleId="18">
    <w:name w:val="Document Map"/>
    <w:basedOn w:val="1"/>
    <w:link w:val="76"/>
    <w:semiHidden/>
    <w:qFormat/>
    <w:uiPriority w:val="99"/>
    <w:pPr>
      <w:shd w:val="clear" w:color="auto" w:fill="000080"/>
    </w:pPr>
    <w:rPr>
      <w:rFonts w:ascii="Calibri" w:hAnsi="Calibri" w:eastAsia="楷体_GB2312" w:cs="Calibri"/>
      <w:kern w:val="0"/>
      <w:sz w:val="20"/>
      <w:szCs w:val="20"/>
    </w:rPr>
  </w:style>
  <w:style w:type="paragraph" w:styleId="19">
    <w:name w:val="annotation text"/>
    <w:basedOn w:val="1"/>
    <w:link w:val="77"/>
    <w:semiHidden/>
    <w:qFormat/>
    <w:uiPriority w:val="99"/>
    <w:pPr>
      <w:jc w:val="left"/>
    </w:pPr>
  </w:style>
  <w:style w:type="paragraph" w:styleId="20">
    <w:name w:val="index 6"/>
    <w:basedOn w:val="1"/>
    <w:next w:val="1"/>
    <w:semiHidden/>
    <w:qFormat/>
    <w:uiPriority w:val="99"/>
    <w:pPr>
      <w:ind w:left="2100"/>
    </w:pPr>
    <w:rPr>
      <w:rFonts w:eastAsia="楷体_GB2312"/>
      <w:sz w:val="26"/>
      <w:szCs w:val="26"/>
    </w:rPr>
  </w:style>
  <w:style w:type="paragraph" w:styleId="21">
    <w:name w:val="Body Text"/>
    <w:basedOn w:val="1"/>
    <w:next w:val="1"/>
    <w:link w:val="75"/>
    <w:qFormat/>
    <w:uiPriority w:val="99"/>
    <w:pPr>
      <w:spacing w:line="400" w:lineRule="exact"/>
    </w:pPr>
    <w:rPr>
      <w:rFonts w:ascii="楷体_GB2312" w:hAnsi="Calibri" w:eastAsia="楷体_GB2312" w:cs="楷体_GB2312"/>
      <w:kern w:val="0"/>
      <w:sz w:val="20"/>
      <w:szCs w:val="20"/>
    </w:rPr>
  </w:style>
  <w:style w:type="paragraph" w:styleId="22">
    <w:name w:val="index 4"/>
    <w:basedOn w:val="1"/>
    <w:next w:val="1"/>
    <w:semiHidden/>
    <w:qFormat/>
    <w:uiPriority w:val="99"/>
    <w:pPr>
      <w:ind w:left="1260"/>
    </w:pPr>
    <w:rPr>
      <w:rFonts w:eastAsia="楷体_GB2312"/>
      <w:sz w:val="26"/>
      <w:szCs w:val="26"/>
    </w:rPr>
  </w:style>
  <w:style w:type="paragraph" w:styleId="23">
    <w:name w:val="toc 5"/>
    <w:basedOn w:val="1"/>
    <w:next w:val="1"/>
    <w:semiHidden/>
    <w:qFormat/>
    <w:uiPriority w:val="99"/>
    <w:pPr>
      <w:ind w:left="1680"/>
    </w:pPr>
    <w:rPr>
      <w:rFonts w:eastAsia="楷体_GB2312"/>
      <w:sz w:val="26"/>
      <w:szCs w:val="26"/>
    </w:rPr>
  </w:style>
  <w:style w:type="paragraph" w:styleId="24">
    <w:name w:val="toc 3"/>
    <w:basedOn w:val="1"/>
    <w:next w:val="1"/>
    <w:semiHidden/>
    <w:qFormat/>
    <w:uiPriority w:val="99"/>
    <w:pPr>
      <w:ind w:left="840"/>
    </w:pPr>
    <w:rPr>
      <w:rFonts w:eastAsia="楷体_GB2312"/>
      <w:sz w:val="26"/>
      <w:szCs w:val="26"/>
    </w:rPr>
  </w:style>
  <w:style w:type="paragraph" w:styleId="25">
    <w:name w:val="Plain Text"/>
    <w:basedOn w:val="1"/>
    <w:link w:val="120"/>
    <w:qFormat/>
    <w:uiPriority w:val="99"/>
    <w:rPr>
      <w:rFonts w:ascii="宋体" w:hAnsi="Courier New" w:eastAsia="宋体" w:cs="宋体"/>
      <w:kern w:val="0"/>
      <w:sz w:val="21"/>
      <w:szCs w:val="21"/>
    </w:rPr>
  </w:style>
  <w:style w:type="paragraph" w:styleId="26">
    <w:name w:val="toc 8"/>
    <w:basedOn w:val="1"/>
    <w:next w:val="1"/>
    <w:semiHidden/>
    <w:qFormat/>
    <w:uiPriority w:val="99"/>
    <w:pPr>
      <w:ind w:left="2940"/>
    </w:pPr>
    <w:rPr>
      <w:rFonts w:eastAsia="楷体_GB2312"/>
      <w:sz w:val="26"/>
      <w:szCs w:val="26"/>
    </w:rPr>
  </w:style>
  <w:style w:type="paragraph" w:styleId="27">
    <w:name w:val="index 3"/>
    <w:basedOn w:val="1"/>
    <w:next w:val="1"/>
    <w:semiHidden/>
    <w:qFormat/>
    <w:uiPriority w:val="99"/>
    <w:pPr>
      <w:ind w:left="840"/>
    </w:pPr>
    <w:rPr>
      <w:rFonts w:eastAsia="楷体_GB2312"/>
      <w:sz w:val="26"/>
      <w:szCs w:val="26"/>
    </w:rPr>
  </w:style>
  <w:style w:type="paragraph" w:styleId="28">
    <w:name w:val="Date"/>
    <w:basedOn w:val="1"/>
    <w:next w:val="1"/>
    <w:link w:val="80"/>
    <w:qFormat/>
    <w:uiPriority w:val="99"/>
    <w:rPr>
      <w:rFonts w:ascii="宋体" w:hAnsi="宋体" w:eastAsia="楷体_GB2312" w:cs="宋体"/>
      <w:kern w:val="0"/>
      <w:sz w:val="20"/>
      <w:szCs w:val="20"/>
    </w:rPr>
  </w:style>
  <w:style w:type="paragraph" w:styleId="29">
    <w:name w:val="Body Text Indent 2"/>
    <w:basedOn w:val="1"/>
    <w:link w:val="81"/>
    <w:qFormat/>
    <w:uiPriority w:val="99"/>
    <w:pPr>
      <w:tabs>
        <w:tab w:val="left" w:pos="0"/>
      </w:tabs>
      <w:spacing w:line="360" w:lineRule="auto"/>
      <w:ind w:firstLine="502" w:firstLineChars="209"/>
    </w:pPr>
    <w:rPr>
      <w:rFonts w:ascii="宋体" w:hAnsi="Calibri" w:eastAsia="宋体" w:cs="宋体"/>
      <w:b/>
      <w:bCs/>
      <w:kern w:val="0"/>
      <w:sz w:val="20"/>
      <w:szCs w:val="20"/>
    </w:rPr>
  </w:style>
  <w:style w:type="paragraph" w:styleId="30">
    <w:name w:val="Balloon Text"/>
    <w:basedOn w:val="1"/>
    <w:link w:val="82"/>
    <w:semiHidden/>
    <w:qFormat/>
    <w:uiPriority w:val="99"/>
    <w:rPr>
      <w:rFonts w:ascii="Calibri" w:hAnsi="Calibri" w:eastAsia="楷体_GB2312" w:cs="Calibri"/>
      <w:kern w:val="0"/>
      <w:sz w:val="18"/>
      <w:szCs w:val="18"/>
    </w:rPr>
  </w:style>
  <w:style w:type="paragraph" w:styleId="31">
    <w:name w:val="footer"/>
    <w:basedOn w:val="1"/>
    <w:link w:val="111"/>
    <w:qFormat/>
    <w:uiPriority w:val="99"/>
    <w:pPr>
      <w:tabs>
        <w:tab w:val="center" w:pos="4153"/>
        <w:tab w:val="right" w:pos="8306"/>
      </w:tabs>
      <w:snapToGrid w:val="0"/>
      <w:jc w:val="left"/>
    </w:pPr>
    <w:rPr>
      <w:rFonts w:ascii="Calibri" w:hAnsi="Calibri" w:eastAsia="宋体" w:cs="Calibri"/>
      <w:kern w:val="0"/>
      <w:sz w:val="18"/>
      <w:szCs w:val="18"/>
    </w:rPr>
  </w:style>
  <w:style w:type="paragraph" w:styleId="32">
    <w:name w:val="header"/>
    <w:basedOn w:val="1"/>
    <w:link w:val="114"/>
    <w:qFormat/>
    <w:uiPriority w:val="99"/>
    <w:pPr>
      <w:pBdr>
        <w:bottom w:val="single" w:color="auto" w:sz="6" w:space="1"/>
      </w:pBdr>
      <w:tabs>
        <w:tab w:val="center" w:pos="4153"/>
        <w:tab w:val="right" w:pos="8306"/>
      </w:tabs>
      <w:snapToGrid w:val="0"/>
      <w:jc w:val="center"/>
    </w:pPr>
    <w:rPr>
      <w:rFonts w:ascii="Calibri" w:hAnsi="Calibri" w:eastAsia="宋体" w:cs="Calibri"/>
      <w:kern w:val="0"/>
      <w:sz w:val="18"/>
      <w:szCs w:val="18"/>
    </w:rPr>
  </w:style>
  <w:style w:type="paragraph" w:styleId="33">
    <w:name w:val="toc 1"/>
    <w:basedOn w:val="1"/>
    <w:next w:val="1"/>
    <w:semiHidden/>
    <w:qFormat/>
    <w:uiPriority w:val="99"/>
    <w:pPr>
      <w:adjustRightInd w:val="0"/>
      <w:jc w:val="left"/>
      <w:textAlignment w:val="baseline"/>
    </w:pPr>
    <w:rPr>
      <w:rFonts w:eastAsia="楷体_GB2312"/>
    </w:rPr>
  </w:style>
  <w:style w:type="paragraph" w:styleId="34">
    <w:name w:val="toc 4"/>
    <w:basedOn w:val="1"/>
    <w:next w:val="1"/>
    <w:semiHidden/>
    <w:qFormat/>
    <w:uiPriority w:val="99"/>
    <w:pPr>
      <w:ind w:left="1260"/>
    </w:pPr>
    <w:rPr>
      <w:rFonts w:eastAsia="楷体_GB2312"/>
      <w:sz w:val="26"/>
      <w:szCs w:val="26"/>
    </w:rPr>
  </w:style>
  <w:style w:type="paragraph" w:styleId="35">
    <w:name w:val="index heading"/>
    <w:basedOn w:val="1"/>
    <w:next w:val="36"/>
    <w:semiHidden/>
    <w:qFormat/>
    <w:uiPriority w:val="99"/>
    <w:rPr>
      <w:rFonts w:eastAsia="楷体_GB2312"/>
      <w:sz w:val="26"/>
      <w:szCs w:val="26"/>
    </w:rPr>
  </w:style>
  <w:style w:type="paragraph" w:styleId="36">
    <w:name w:val="index 1"/>
    <w:basedOn w:val="1"/>
    <w:next w:val="1"/>
    <w:semiHidden/>
    <w:qFormat/>
    <w:uiPriority w:val="99"/>
    <w:rPr>
      <w:rFonts w:eastAsia="楷体_GB2312"/>
      <w:sz w:val="26"/>
      <w:szCs w:val="26"/>
    </w:rPr>
  </w:style>
  <w:style w:type="paragraph" w:styleId="37">
    <w:name w:val="footnote text"/>
    <w:basedOn w:val="1"/>
    <w:link w:val="85"/>
    <w:semiHidden/>
    <w:qFormat/>
    <w:uiPriority w:val="99"/>
    <w:pPr>
      <w:snapToGrid w:val="0"/>
      <w:jc w:val="left"/>
    </w:pPr>
    <w:rPr>
      <w:rFonts w:ascii="Calibri" w:hAnsi="Calibri" w:eastAsia="楷体_GB2312" w:cs="Calibri"/>
      <w:kern w:val="0"/>
      <w:sz w:val="20"/>
      <w:szCs w:val="20"/>
    </w:rPr>
  </w:style>
  <w:style w:type="paragraph" w:styleId="38">
    <w:name w:val="toc 6"/>
    <w:basedOn w:val="1"/>
    <w:next w:val="1"/>
    <w:semiHidden/>
    <w:qFormat/>
    <w:uiPriority w:val="99"/>
    <w:pPr>
      <w:ind w:left="2100"/>
    </w:pPr>
    <w:rPr>
      <w:rFonts w:eastAsia="楷体_GB2312"/>
      <w:sz w:val="26"/>
      <w:szCs w:val="26"/>
    </w:rPr>
  </w:style>
  <w:style w:type="paragraph" w:styleId="39">
    <w:name w:val="Body Text Indent 3"/>
    <w:basedOn w:val="1"/>
    <w:link w:val="86"/>
    <w:qFormat/>
    <w:uiPriority w:val="99"/>
    <w:pPr>
      <w:spacing w:line="360" w:lineRule="auto"/>
      <w:ind w:firstLine="617" w:firstLineChars="257"/>
    </w:pPr>
    <w:rPr>
      <w:rFonts w:ascii="Calibri" w:hAnsi="Calibri" w:eastAsia="宋体" w:cs="Calibri"/>
      <w:kern w:val="0"/>
      <w:sz w:val="20"/>
      <w:szCs w:val="20"/>
    </w:rPr>
  </w:style>
  <w:style w:type="paragraph" w:styleId="40">
    <w:name w:val="index 7"/>
    <w:basedOn w:val="1"/>
    <w:next w:val="1"/>
    <w:semiHidden/>
    <w:qFormat/>
    <w:uiPriority w:val="99"/>
    <w:pPr>
      <w:ind w:left="2520"/>
    </w:pPr>
    <w:rPr>
      <w:rFonts w:eastAsia="楷体_GB2312"/>
      <w:sz w:val="26"/>
      <w:szCs w:val="26"/>
    </w:rPr>
  </w:style>
  <w:style w:type="paragraph" w:styleId="41">
    <w:name w:val="index 9"/>
    <w:basedOn w:val="1"/>
    <w:next w:val="1"/>
    <w:semiHidden/>
    <w:qFormat/>
    <w:uiPriority w:val="99"/>
    <w:pPr>
      <w:ind w:left="3360"/>
    </w:pPr>
    <w:rPr>
      <w:rFonts w:eastAsia="楷体_GB2312"/>
      <w:sz w:val="26"/>
      <w:szCs w:val="26"/>
    </w:rPr>
  </w:style>
  <w:style w:type="paragraph" w:styleId="42">
    <w:name w:val="table of figures"/>
    <w:basedOn w:val="1"/>
    <w:next w:val="1"/>
    <w:semiHidden/>
    <w:qFormat/>
    <w:uiPriority w:val="99"/>
    <w:pPr>
      <w:adjustRightInd w:val="0"/>
      <w:ind w:left="420" w:hanging="420"/>
      <w:jc w:val="left"/>
      <w:textAlignment w:val="baseline"/>
    </w:pPr>
    <w:rPr>
      <w:rFonts w:eastAsia="楷体_GB2312"/>
      <w:smallCaps/>
    </w:rPr>
  </w:style>
  <w:style w:type="paragraph" w:styleId="43">
    <w:name w:val="toc 2"/>
    <w:basedOn w:val="1"/>
    <w:next w:val="1"/>
    <w:semiHidden/>
    <w:qFormat/>
    <w:uiPriority w:val="99"/>
    <w:pPr>
      <w:ind w:left="420"/>
    </w:pPr>
    <w:rPr>
      <w:rFonts w:eastAsia="楷体_GB2312"/>
      <w:sz w:val="26"/>
      <w:szCs w:val="26"/>
    </w:rPr>
  </w:style>
  <w:style w:type="paragraph" w:styleId="44">
    <w:name w:val="toc 9"/>
    <w:basedOn w:val="1"/>
    <w:next w:val="1"/>
    <w:semiHidden/>
    <w:qFormat/>
    <w:uiPriority w:val="99"/>
    <w:pPr>
      <w:ind w:left="3360"/>
    </w:pPr>
    <w:rPr>
      <w:rFonts w:eastAsia="楷体_GB2312"/>
      <w:sz w:val="26"/>
      <w:szCs w:val="26"/>
    </w:rPr>
  </w:style>
  <w:style w:type="paragraph" w:styleId="45">
    <w:name w:val="HTML Preformatted"/>
    <w:basedOn w:val="1"/>
    <w:link w:val="8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6">
    <w:name w:val="Normal (Web)"/>
    <w:basedOn w:val="1"/>
    <w:qFormat/>
    <w:uiPriority w:val="99"/>
    <w:pPr>
      <w:spacing w:before="100" w:beforeAutospacing="1" w:after="100" w:afterAutospacing="1"/>
      <w:jc w:val="left"/>
    </w:pPr>
    <w:rPr>
      <w:rFonts w:ascii="Calibri" w:hAnsi="Calibri" w:eastAsia="宋体" w:cs="Calibri"/>
      <w:kern w:val="0"/>
    </w:rPr>
  </w:style>
  <w:style w:type="paragraph" w:styleId="47">
    <w:name w:val="index 2"/>
    <w:basedOn w:val="1"/>
    <w:next w:val="1"/>
    <w:semiHidden/>
    <w:qFormat/>
    <w:uiPriority w:val="99"/>
    <w:pPr>
      <w:ind w:left="420"/>
    </w:pPr>
    <w:rPr>
      <w:rFonts w:eastAsia="楷体_GB2312"/>
      <w:sz w:val="26"/>
      <w:szCs w:val="26"/>
    </w:rPr>
  </w:style>
  <w:style w:type="paragraph" w:styleId="48">
    <w:name w:val="annotation subject"/>
    <w:basedOn w:val="19"/>
    <w:next w:val="19"/>
    <w:link w:val="88"/>
    <w:semiHidden/>
    <w:qFormat/>
    <w:uiPriority w:val="99"/>
    <w:rPr>
      <w:rFonts w:ascii="Calibri" w:hAnsi="Calibri" w:eastAsia="楷体_GB2312" w:cs="Calibri"/>
      <w:b/>
      <w:bCs/>
      <w:kern w:val="0"/>
      <w:sz w:val="20"/>
      <w:szCs w:val="20"/>
    </w:rPr>
  </w:style>
  <w:style w:type="table" w:styleId="50">
    <w:name w:val="Table Grid"/>
    <w:basedOn w:val="4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99"/>
    <w:rPr>
      <w:b/>
      <w:bCs/>
    </w:rPr>
  </w:style>
  <w:style w:type="character" w:styleId="53">
    <w:name w:val="page number"/>
    <w:basedOn w:val="51"/>
    <w:qFormat/>
    <w:uiPriority w:val="99"/>
  </w:style>
  <w:style w:type="character" w:styleId="54">
    <w:name w:val="FollowedHyperlink"/>
    <w:qFormat/>
    <w:uiPriority w:val="99"/>
    <w:rPr>
      <w:color w:val="auto"/>
      <w:u w:val="single"/>
    </w:rPr>
  </w:style>
  <w:style w:type="character" w:styleId="55">
    <w:name w:val="Emphasis"/>
    <w:qFormat/>
    <w:uiPriority w:val="99"/>
    <w:rPr>
      <w:i/>
      <w:iCs/>
    </w:rPr>
  </w:style>
  <w:style w:type="character" w:styleId="56">
    <w:name w:val="line number"/>
    <w:basedOn w:val="51"/>
    <w:qFormat/>
    <w:uiPriority w:val="99"/>
  </w:style>
  <w:style w:type="character" w:styleId="57">
    <w:name w:val="HTML Definition"/>
    <w:qFormat/>
    <w:uiPriority w:val="99"/>
    <w:rPr>
      <w:i/>
      <w:iCs/>
    </w:rPr>
  </w:style>
  <w:style w:type="character" w:styleId="58">
    <w:name w:val="HTML Typewriter"/>
    <w:qFormat/>
    <w:locked/>
    <w:uiPriority w:val="99"/>
    <w:rPr>
      <w:rFonts w:ascii="黑体" w:hAnsi="Courier New" w:eastAsia="黑体" w:cs="黑体"/>
      <w:sz w:val="14"/>
      <w:szCs w:val="14"/>
    </w:rPr>
  </w:style>
  <w:style w:type="character" w:styleId="59">
    <w:name w:val="Hyperlink"/>
    <w:qFormat/>
    <w:uiPriority w:val="99"/>
    <w:rPr>
      <w:color w:val="0000FF"/>
      <w:u w:val="single"/>
    </w:rPr>
  </w:style>
  <w:style w:type="character" w:styleId="60">
    <w:name w:val="HTML Code"/>
    <w:qFormat/>
    <w:uiPriority w:val="99"/>
    <w:rPr>
      <w:rFonts w:ascii="Menlo" w:hAnsi="Menlo" w:cs="Menlo"/>
      <w:color w:val="auto"/>
      <w:sz w:val="21"/>
      <w:szCs w:val="21"/>
      <w:shd w:val="clear" w:color="auto" w:fill="auto"/>
    </w:rPr>
  </w:style>
  <w:style w:type="character" w:styleId="61">
    <w:name w:val="annotation reference"/>
    <w:semiHidden/>
    <w:qFormat/>
    <w:uiPriority w:val="99"/>
    <w:rPr>
      <w:sz w:val="21"/>
      <w:szCs w:val="21"/>
    </w:rPr>
  </w:style>
  <w:style w:type="character" w:styleId="62">
    <w:name w:val="HTML Cite"/>
    <w:basedOn w:val="51"/>
    <w:qFormat/>
    <w:uiPriority w:val="99"/>
  </w:style>
  <w:style w:type="character" w:styleId="63">
    <w:name w:val="footnote reference"/>
    <w:semiHidden/>
    <w:qFormat/>
    <w:uiPriority w:val="99"/>
    <w:rPr>
      <w:vertAlign w:val="superscript"/>
    </w:rPr>
  </w:style>
  <w:style w:type="character" w:styleId="64">
    <w:name w:val="HTML Keyboard"/>
    <w:qFormat/>
    <w:uiPriority w:val="99"/>
    <w:rPr>
      <w:rFonts w:ascii="Menlo" w:hAnsi="Menlo" w:cs="Menlo"/>
      <w:sz w:val="21"/>
      <w:szCs w:val="21"/>
    </w:rPr>
  </w:style>
  <w:style w:type="character" w:styleId="65">
    <w:name w:val="HTML Sample"/>
    <w:qFormat/>
    <w:uiPriority w:val="99"/>
    <w:rPr>
      <w:rFonts w:ascii="Menlo" w:hAnsi="Menlo" w:cs="Menlo"/>
      <w:sz w:val="21"/>
      <w:szCs w:val="21"/>
    </w:rPr>
  </w:style>
  <w:style w:type="character" w:customStyle="1" w:styleId="66">
    <w:name w:val="标题 1 Char"/>
    <w:link w:val="5"/>
    <w:qFormat/>
    <w:locked/>
    <w:uiPriority w:val="99"/>
    <w:rPr>
      <w:rFonts w:eastAsia="楷体_GB2312"/>
      <w:b/>
      <w:bCs/>
      <w:kern w:val="44"/>
      <w:sz w:val="20"/>
      <w:szCs w:val="20"/>
    </w:rPr>
  </w:style>
  <w:style w:type="character" w:customStyle="1" w:styleId="67">
    <w:name w:val="标题 2 Char"/>
    <w:link w:val="6"/>
    <w:qFormat/>
    <w:locked/>
    <w:uiPriority w:val="99"/>
    <w:rPr>
      <w:rFonts w:ascii="宋体" w:hAnsi="宋体" w:eastAsia="楷体_GB2312" w:cs="宋体"/>
      <w:b/>
      <w:bCs/>
      <w:sz w:val="20"/>
      <w:szCs w:val="20"/>
    </w:rPr>
  </w:style>
  <w:style w:type="character" w:customStyle="1" w:styleId="68">
    <w:name w:val="标题 3 Char"/>
    <w:link w:val="7"/>
    <w:qFormat/>
    <w:locked/>
    <w:uiPriority w:val="99"/>
    <w:rPr>
      <w:rFonts w:eastAsia="楷体_GB2312"/>
      <w:b/>
      <w:bCs/>
      <w:sz w:val="20"/>
      <w:szCs w:val="20"/>
    </w:rPr>
  </w:style>
  <w:style w:type="character" w:customStyle="1" w:styleId="69">
    <w:name w:val="标题 4 Char"/>
    <w:link w:val="8"/>
    <w:qFormat/>
    <w:locked/>
    <w:uiPriority w:val="99"/>
    <w:rPr>
      <w:rFonts w:ascii="Cambria" w:hAnsi="Cambria" w:eastAsia="宋体" w:cs="Cambria"/>
      <w:b/>
      <w:bCs/>
      <w:sz w:val="28"/>
      <w:szCs w:val="28"/>
    </w:rPr>
  </w:style>
  <w:style w:type="character" w:customStyle="1" w:styleId="70">
    <w:name w:val="标题 5 Char"/>
    <w:link w:val="9"/>
    <w:qFormat/>
    <w:locked/>
    <w:uiPriority w:val="99"/>
    <w:rPr>
      <w:rFonts w:ascii="宋体" w:eastAsia="宋体" w:cs="宋体"/>
      <w:b/>
      <w:bCs/>
      <w:spacing w:val="-2"/>
      <w:position w:val="-6"/>
      <w:sz w:val="20"/>
      <w:szCs w:val="20"/>
    </w:rPr>
  </w:style>
  <w:style w:type="character" w:customStyle="1" w:styleId="71">
    <w:name w:val="标题 6 Char"/>
    <w:link w:val="11"/>
    <w:qFormat/>
    <w:locked/>
    <w:uiPriority w:val="99"/>
    <w:rPr>
      <w:rFonts w:ascii="Arial" w:hAnsi="Arial" w:eastAsia="黑体" w:cs="Arial"/>
      <w:b/>
      <w:bCs/>
      <w:spacing w:val="-2"/>
      <w:position w:val="-6"/>
      <w:sz w:val="20"/>
      <w:szCs w:val="20"/>
    </w:rPr>
  </w:style>
  <w:style w:type="character" w:customStyle="1" w:styleId="72">
    <w:name w:val="标题 7 Char"/>
    <w:link w:val="12"/>
    <w:locked/>
    <w:uiPriority w:val="99"/>
    <w:rPr>
      <w:rFonts w:ascii="宋体" w:eastAsia="宋体" w:cs="宋体"/>
      <w:b/>
      <w:bCs/>
      <w:spacing w:val="-2"/>
      <w:position w:val="-6"/>
      <w:sz w:val="20"/>
      <w:szCs w:val="20"/>
    </w:rPr>
  </w:style>
  <w:style w:type="character" w:customStyle="1" w:styleId="73">
    <w:name w:val="标题 8 Char"/>
    <w:link w:val="13"/>
    <w:qFormat/>
    <w:locked/>
    <w:uiPriority w:val="99"/>
    <w:rPr>
      <w:rFonts w:ascii="Arial" w:hAnsi="Arial" w:eastAsia="黑体" w:cs="Arial"/>
      <w:spacing w:val="-2"/>
      <w:position w:val="-6"/>
      <w:sz w:val="20"/>
      <w:szCs w:val="20"/>
    </w:rPr>
  </w:style>
  <w:style w:type="character" w:customStyle="1" w:styleId="74">
    <w:name w:val="标题 9 Char"/>
    <w:link w:val="14"/>
    <w:qFormat/>
    <w:locked/>
    <w:uiPriority w:val="99"/>
    <w:rPr>
      <w:rFonts w:ascii="Arial" w:hAnsi="Arial" w:eastAsia="黑体" w:cs="Arial"/>
      <w:spacing w:val="-2"/>
      <w:position w:val="-6"/>
      <w:sz w:val="20"/>
      <w:szCs w:val="20"/>
    </w:rPr>
  </w:style>
  <w:style w:type="character" w:customStyle="1" w:styleId="75">
    <w:name w:val="正文文本 Char"/>
    <w:link w:val="21"/>
    <w:qFormat/>
    <w:locked/>
    <w:uiPriority w:val="99"/>
    <w:rPr>
      <w:rFonts w:ascii="楷体_GB2312" w:eastAsia="楷体_GB2312" w:cs="楷体_GB2312"/>
      <w:sz w:val="20"/>
      <w:szCs w:val="20"/>
    </w:rPr>
  </w:style>
  <w:style w:type="character" w:customStyle="1" w:styleId="76">
    <w:name w:val="文档结构图 Char"/>
    <w:link w:val="18"/>
    <w:semiHidden/>
    <w:qFormat/>
    <w:locked/>
    <w:uiPriority w:val="99"/>
    <w:rPr>
      <w:rFonts w:eastAsia="楷体_GB2312"/>
      <w:sz w:val="20"/>
      <w:szCs w:val="20"/>
      <w:shd w:val="clear" w:color="auto" w:fill="000080"/>
    </w:rPr>
  </w:style>
  <w:style w:type="character" w:customStyle="1" w:styleId="77">
    <w:name w:val="批注文字 Char"/>
    <w:basedOn w:val="51"/>
    <w:link w:val="19"/>
    <w:semiHidden/>
    <w:locked/>
    <w:uiPriority w:val="99"/>
  </w:style>
  <w:style w:type="character" w:customStyle="1" w:styleId="78">
    <w:name w:val="Body Text Indent Char"/>
    <w:qFormat/>
    <w:locked/>
    <w:uiPriority w:val="99"/>
    <w:rPr>
      <w:rFonts w:ascii="方正仿宋简体" w:hAnsi="创艺简仿宋" w:eastAsia="方正仿宋简体" w:cs="方正仿宋简体"/>
    </w:rPr>
  </w:style>
  <w:style w:type="character" w:customStyle="1" w:styleId="79">
    <w:name w:val="Plain Text Char"/>
    <w:qFormat/>
    <w:locked/>
    <w:uiPriority w:val="99"/>
    <w:rPr>
      <w:rFonts w:ascii="宋体" w:hAnsi="Courier New" w:eastAsia="楷体_GB2312" w:cs="宋体"/>
      <w:sz w:val="26"/>
      <w:szCs w:val="26"/>
    </w:rPr>
  </w:style>
  <w:style w:type="character" w:customStyle="1" w:styleId="80">
    <w:name w:val="日期 Char"/>
    <w:link w:val="28"/>
    <w:qFormat/>
    <w:locked/>
    <w:uiPriority w:val="99"/>
    <w:rPr>
      <w:rFonts w:ascii="宋体" w:hAnsi="宋体" w:eastAsia="楷体_GB2312" w:cs="宋体"/>
      <w:sz w:val="20"/>
      <w:szCs w:val="20"/>
    </w:rPr>
  </w:style>
  <w:style w:type="character" w:customStyle="1" w:styleId="81">
    <w:name w:val="正文文本缩进 2 Char"/>
    <w:link w:val="29"/>
    <w:qFormat/>
    <w:locked/>
    <w:uiPriority w:val="99"/>
    <w:rPr>
      <w:rFonts w:ascii="宋体" w:eastAsia="宋体" w:cs="宋体"/>
      <w:b/>
      <w:bCs/>
      <w:sz w:val="20"/>
      <w:szCs w:val="20"/>
    </w:rPr>
  </w:style>
  <w:style w:type="character" w:customStyle="1" w:styleId="82">
    <w:name w:val="批注框文本 Char"/>
    <w:link w:val="30"/>
    <w:semiHidden/>
    <w:qFormat/>
    <w:locked/>
    <w:uiPriority w:val="99"/>
    <w:rPr>
      <w:rFonts w:eastAsia="楷体_GB2312"/>
      <w:sz w:val="18"/>
      <w:szCs w:val="18"/>
    </w:rPr>
  </w:style>
  <w:style w:type="character" w:customStyle="1" w:styleId="83">
    <w:name w:val="Footer Char"/>
    <w:qFormat/>
    <w:locked/>
    <w:uiPriority w:val="99"/>
    <w:rPr>
      <w:rFonts w:eastAsia="楷体_GB2312"/>
      <w:sz w:val="18"/>
      <w:szCs w:val="18"/>
    </w:rPr>
  </w:style>
  <w:style w:type="character" w:customStyle="1" w:styleId="84">
    <w:name w:val="Header Char"/>
    <w:qFormat/>
    <w:locked/>
    <w:uiPriority w:val="99"/>
    <w:rPr>
      <w:rFonts w:eastAsia="楷体_GB2312"/>
      <w:sz w:val="18"/>
      <w:szCs w:val="18"/>
    </w:rPr>
  </w:style>
  <w:style w:type="character" w:customStyle="1" w:styleId="85">
    <w:name w:val="脚注文本 Char"/>
    <w:link w:val="37"/>
    <w:semiHidden/>
    <w:qFormat/>
    <w:locked/>
    <w:uiPriority w:val="99"/>
    <w:rPr>
      <w:rFonts w:eastAsia="楷体_GB2312"/>
      <w:sz w:val="20"/>
      <w:szCs w:val="20"/>
    </w:rPr>
  </w:style>
  <w:style w:type="character" w:customStyle="1" w:styleId="86">
    <w:name w:val="正文文本缩进 3 Char"/>
    <w:link w:val="39"/>
    <w:qFormat/>
    <w:locked/>
    <w:uiPriority w:val="99"/>
    <w:rPr>
      <w:rFonts w:eastAsia="宋体"/>
    </w:rPr>
  </w:style>
  <w:style w:type="character" w:customStyle="1" w:styleId="87">
    <w:name w:val="HTML 预设格式 Char"/>
    <w:link w:val="45"/>
    <w:qFormat/>
    <w:locked/>
    <w:uiPriority w:val="99"/>
    <w:rPr>
      <w:rFonts w:ascii="黑体" w:hAnsi="Courier New" w:eastAsia="黑体" w:cs="黑体"/>
      <w:kern w:val="0"/>
      <w:sz w:val="20"/>
      <w:szCs w:val="20"/>
    </w:rPr>
  </w:style>
  <w:style w:type="character" w:customStyle="1" w:styleId="88">
    <w:name w:val="批注主题 Char"/>
    <w:link w:val="48"/>
    <w:semiHidden/>
    <w:qFormat/>
    <w:locked/>
    <w:uiPriority w:val="99"/>
    <w:rPr>
      <w:rFonts w:eastAsia="楷体_GB2312"/>
      <w:b/>
      <w:bCs/>
      <w:sz w:val="20"/>
      <w:szCs w:val="20"/>
    </w:rPr>
  </w:style>
  <w:style w:type="character" w:customStyle="1" w:styleId="89">
    <w:name w:val="正文首行缩进 2 Char"/>
    <w:link w:val="2"/>
    <w:qFormat/>
    <w:uiPriority w:val="0"/>
    <w:rPr>
      <w:rFonts w:ascii="Times New Roman" w:hAnsi="Times New Roman" w:eastAsia="仿宋_GB2312" w:cs="Times New Roman"/>
      <w:sz w:val="24"/>
      <w:szCs w:val="24"/>
    </w:rPr>
  </w:style>
  <w:style w:type="character" w:customStyle="1" w:styleId="90">
    <w:name w:val="grid"/>
    <w:basedOn w:val="51"/>
    <w:qFormat/>
    <w:uiPriority w:val="99"/>
  </w:style>
  <w:style w:type="character" w:customStyle="1" w:styleId="91">
    <w:name w:val="hilite"/>
    <w:qFormat/>
    <w:uiPriority w:val="99"/>
    <w:rPr>
      <w:color w:val="FFFFFF"/>
      <w:shd w:val="clear" w:color="auto" w:fill="auto"/>
    </w:rPr>
  </w:style>
  <w:style w:type="character" w:customStyle="1" w:styleId="92">
    <w:name w:val="bds_nopic"/>
    <w:basedOn w:val="51"/>
    <w:qFormat/>
    <w:uiPriority w:val="99"/>
  </w:style>
  <w:style w:type="character" w:customStyle="1" w:styleId="93">
    <w:name w:val="正文缩进 Char"/>
    <w:link w:val="10"/>
    <w:qFormat/>
    <w:locked/>
    <w:uiPriority w:val="0"/>
    <w:rPr>
      <w:rFonts w:eastAsia="楷体_GB2312"/>
    </w:rPr>
  </w:style>
  <w:style w:type="character" w:customStyle="1" w:styleId="94">
    <w:name w:val="bds_more4"/>
    <w:qFormat/>
    <w:uiPriority w:val="99"/>
    <w:rPr>
      <w:rFonts w:ascii="宋体" w:hAnsi="宋体" w:eastAsia="宋体" w:cs="宋体"/>
    </w:rPr>
  </w:style>
  <w:style w:type="character" w:customStyle="1" w:styleId="95">
    <w:name w:val="批注文字 字符"/>
    <w:semiHidden/>
    <w:qFormat/>
    <w:uiPriority w:val="99"/>
    <w:rPr>
      <w:rFonts w:eastAsia="楷体_GB2312"/>
      <w:kern w:val="2"/>
      <w:sz w:val="26"/>
      <w:szCs w:val="26"/>
    </w:rPr>
  </w:style>
  <w:style w:type="character" w:customStyle="1" w:styleId="96">
    <w:name w:val="active"/>
    <w:qFormat/>
    <w:uiPriority w:val="99"/>
    <w:rPr>
      <w:color w:val="00FF00"/>
      <w:shd w:val="clear" w:color="auto" w:fill="000000"/>
    </w:rPr>
  </w:style>
  <w:style w:type="character" w:customStyle="1" w:styleId="97">
    <w:name w:val="other"/>
    <w:basedOn w:val="51"/>
    <w:qFormat/>
    <w:uiPriority w:val="99"/>
  </w:style>
  <w:style w:type="character" w:customStyle="1" w:styleId="98">
    <w:name w:val="grid2"/>
    <w:basedOn w:val="51"/>
    <w:qFormat/>
    <w:uiPriority w:val="99"/>
  </w:style>
  <w:style w:type="character" w:customStyle="1" w:styleId="99">
    <w:name w:val="active8"/>
    <w:qFormat/>
    <w:uiPriority w:val="99"/>
    <w:rPr>
      <w:color w:val="00FF00"/>
      <w:shd w:val="clear" w:color="auto" w:fill="000000"/>
    </w:rPr>
  </w:style>
  <w:style w:type="character" w:customStyle="1" w:styleId="100">
    <w:name w:val="hilite6"/>
    <w:qFormat/>
    <w:uiPriority w:val="99"/>
    <w:rPr>
      <w:color w:val="FFFFFF"/>
      <w:shd w:val="clear" w:color="auto" w:fill="auto"/>
    </w:rPr>
  </w:style>
  <w:style w:type="character" w:customStyle="1" w:styleId="101">
    <w:name w:val="bds_more6"/>
    <w:basedOn w:val="51"/>
    <w:qFormat/>
    <w:uiPriority w:val="99"/>
  </w:style>
  <w:style w:type="character" w:customStyle="1" w:styleId="102">
    <w:name w:val="bds_more8"/>
    <w:qFormat/>
    <w:uiPriority w:val="99"/>
    <w:rPr>
      <w:rFonts w:ascii="宋体" w:hAnsi="宋体" w:eastAsia="宋体" w:cs="宋体"/>
    </w:rPr>
  </w:style>
  <w:style w:type="character" w:customStyle="1" w:styleId="103">
    <w:name w:val="noused"/>
    <w:qFormat/>
    <w:uiPriority w:val="99"/>
    <w:rPr>
      <w:b/>
      <w:bCs/>
      <w:color w:val="FFFFFF"/>
      <w:sz w:val="21"/>
      <w:szCs w:val="21"/>
    </w:rPr>
  </w:style>
  <w:style w:type="character" w:customStyle="1" w:styleId="104">
    <w:name w:val="bds_nopic1"/>
    <w:basedOn w:val="51"/>
    <w:qFormat/>
    <w:uiPriority w:val="99"/>
  </w:style>
  <w:style w:type="character" w:customStyle="1" w:styleId="105">
    <w:name w:val="bds_more7"/>
    <w:basedOn w:val="51"/>
    <w:qFormat/>
    <w:uiPriority w:val="99"/>
  </w:style>
  <w:style w:type="character" w:customStyle="1" w:styleId="106">
    <w:name w:val="bds_more5"/>
    <w:basedOn w:val="51"/>
    <w:qFormat/>
    <w:uiPriority w:val="99"/>
  </w:style>
  <w:style w:type="character" w:customStyle="1" w:styleId="107">
    <w:name w:val="bds_nopic2"/>
    <w:basedOn w:val="51"/>
    <w:qFormat/>
    <w:uiPriority w:val="99"/>
  </w:style>
  <w:style w:type="character" w:customStyle="1" w:styleId="108">
    <w:name w:val="Char Char2"/>
    <w:qFormat/>
    <w:uiPriority w:val="99"/>
    <w:rPr>
      <w:rFonts w:ascii="宋体" w:hAnsi="宋体" w:eastAsia="楷体_GB2312" w:cs="宋体"/>
      <w:b/>
      <w:bCs/>
      <w:kern w:val="2"/>
      <w:sz w:val="26"/>
      <w:szCs w:val="26"/>
      <w:lang w:val="en-US" w:eastAsia="zh-CN"/>
    </w:rPr>
  </w:style>
  <w:style w:type="character" w:customStyle="1" w:styleId="109">
    <w:name w:val="hover61"/>
    <w:qFormat/>
    <w:uiPriority w:val="99"/>
    <w:rPr>
      <w:shd w:val="clear" w:color="auto" w:fill="FF0000"/>
    </w:rPr>
  </w:style>
  <w:style w:type="character" w:customStyle="1" w:styleId="110">
    <w:name w:val="state"/>
    <w:qFormat/>
    <w:uiPriority w:val="99"/>
    <w:rPr>
      <w:b/>
      <w:bCs/>
      <w:color w:val="FFFFFF"/>
      <w:sz w:val="19"/>
      <w:szCs w:val="19"/>
    </w:rPr>
  </w:style>
  <w:style w:type="character" w:customStyle="1" w:styleId="111">
    <w:name w:val="页脚 Char"/>
    <w:link w:val="31"/>
    <w:qFormat/>
    <w:locked/>
    <w:uiPriority w:val="99"/>
    <w:rPr>
      <w:sz w:val="18"/>
      <w:szCs w:val="18"/>
    </w:rPr>
  </w:style>
  <w:style w:type="character" w:customStyle="1" w:styleId="112">
    <w:name w:val="页脚 字符1"/>
    <w:semiHidden/>
    <w:qFormat/>
    <w:uiPriority w:val="99"/>
    <w:rPr>
      <w:sz w:val="18"/>
      <w:szCs w:val="18"/>
    </w:rPr>
  </w:style>
  <w:style w:type="paragraph" w:customStyle="1" w:styleId="113">
    <w:name w:val="Char"/>
    <w:basedOn w:val="1"/>
    <w:qFormat/>
    <w:uiPriority w:val="99"/>
    <w:rPr>
      <w:rFonts w:ascii="Tahoma" w:hAnsi="Tahoma" w:eastAsia="宋体" w:cs="Tahoma"/>
    </w:rPr>
  </w:style>
  <w:style w:type="character" w:customStyle="1" w:styleId="114">
    <w:name w:val="页眉 Char"/>
    <w:link w:val="32"/>
    <w:qFormat/>
    <w:locked/>
    <w:uiPriority w:val="99"/>
    <w:rPr>
      <w:sz w:val="18"/>
      <w:szCs w:val="18"/>
    </w:rPr>
  </w:style>
  <w:style w:type="character" w:customStyle="1" w:styleId="115">
    <w:name w:val="页眉 字符1"/>
    <w:semiHidden/>
    <w:qFormat/>
    <w:uiPriority w:val="99"/>
    <w:rPr>
      <w:sz w:val="18"/>
      <w:szCs w:val="18"/>
    </w:rPr>
  </w:style>
  <w:style w:type="paragraph" w:customStyle="1" w:styleId="116">
    <w:name w:val="Char Char1 Char Char Char Char"/>
    <w:basedOn w:val="18"/>
    <w:qFormat/>
    <w:uiPriority w:val="99"/>
    <w:pPr>
      <w:adjustRightInd w:val="0"/>
      <w:snapToGrid w:val="0"/>
      <w:spacing w:line="360" w:lineRule="auto"/>
    </w:pPr>
    <w:rPr>
      <w:rFonts w:ascii="Tahoma" w:hAnsi="Tahoma" w:eastAsia="宋体" w:cs="Tahoma"/>
      <w:sz w:val="24"/>
      <w:szCs w:val="24"/>
    </w:rPr>
  </w:style>
  <w:style w:type="paragraph" w:customStyle="1" w:styleId="117">
    <w:name w:val="图"/>
    <w:basedOn w:val="1"/>
    <w:qFormat/>
    <w:uiPriority w:val="99"/>
    <w:pPr>
      <w:keepNext/>
      <w:adjustRightInd w:val="0"/>
      <w:spacing w:before="60" w:after="60" w:line="300" w:lineRule="auto"/>
      <w:jc w:val="center"/>
      <w:textAlignment w:val="center"/>
    </w:pPr>
    <w:rPr>
      <w:rFonts w:eastAsia="宋体"/>
      <w:spacing w:val="20"/>
      <w:kern w:val="0"/>
    </w:rPr>
  </w:style>
  <w:style w:type="paragraph" w:customStyle="1" w:styleId="118">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19">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0">
    <w:name w:val="纯文本 Char"/>
    <w:link w:val="25"/>
    <w:qFormat/>
    <w:locked/>
    <w:uiPriority w:val="99"/>
    <w:rPr>
      <w:rFonts w:ascii="宋体" w:hAnsi="Courier New" w:eastAsia="宋体" w:cs="宋体"/>
      <w:sz w:val="21"/>
      <w:szCs w:val="21"/>
    </w:rPr>
  </w:style>
  <w:style w:type="character" w:customStyle="1" w:styleId="121">
    <w:name w:val="纯文本 字符1"/>
    <w:semiHidden/>
    <w:qFormat/>
    <w:uiPriority w:val="99"/>
    <w:rPr>
      <w:rFonts w:ascii="等线" w:hAnsi="Courier New" w:eastAsia="等线" w:cs="等线"/>
    </w:rPr>
  </w:style>
  <w:style w:type="paragraph" w:styleId="122">
    <w:name w:val="List Paragraph"/>
    <w:basedOn w:val="1"/>
    <w:qFormat/>
    <w:uiPriority w:val="34"/>
    <w:pPr>
      <w:ind w:firstLine="420" w:firstLineChars="200"/>
    </w:pPr>
    <w:rPr>
      <w:rFonts w:eastAsia="宋体"/>
      <w:sz w:val="21"/>
      <w:szCs w:val="21"/>
    </w:rPr>
  </w:style>
  <w:style w:type="paragraph" w:customStyle="1" w:styleId="123">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24">
    <w:name w:val="正文文本缩进 Char"/>
    <w:link w:val="3"/>
    <w:semiHidden/>
    <w:qFormat/>
    <w:locked/>
    <w:uiPriority w:val="99"/>
    <w:rPr>
      <w:sz w:val="24"/>
      <w:szCs w:val="24"/>
    </w:rPr>
  </w:style>
  <w:style w:type="character" w:customStyle="1" w:styleId="125">
    <w:name w:val="正文文本缩进 字符1"/>
    <w:basedOn w:val="51"/>
    <w:semiHidden/>
    <w:qFormat/>
    <w:uiPriority w:val="99"/>
  </w:style>
  <w:style w:type="paragraph" w:customStyle="1" w:styleId="126">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7">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
    <w:name w:val="font01"/>
    <w:qFormat/>
    <w:uiPriority w:val="99"/>
    <w:rPr>
      <w:rFonts w:ascii="宋体" w:hAnsi="宋体" w:eastAsia="宋体" w:cs="宋体"/>
      <w:b/>
      <w:bCs/>
      <w:color w:val="000000"/>
      <w:sz w:val="18"/>
      <w:szCs w:val="18"/>
      <w:u w:val="none"/>
      <w:vertAlign w:val="superscript"/>
    </w:rPr>
  </w:style>
  <w:style w:type="paragraph" w:customStyle="1" w:styleId="129">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30">
    <w:name w:val="Table Paragraph"/>
    <w:basedOn w:val="1"/>
    <w:qFormat/>
    <w:uiPriority w:val="99"/>
    <w:rPr>
      <w:rFonts w:ascii="微软雅黑" w:hAnsi="微软雅黑" w:eastAsia="微软雅黑" w:cs="微软雅黑"/>
      <w:sz w:val="21"/>
      <w:szCs w:val="21"/>
      <w:lang w:val="zh-CN"/>
    </w:rPr>
  </w:style>
  <w:style w:type="table" w:customStyle="1" w:styleId="131">
    <w:name w:val="网格型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fontstyle01"/>
    <w:qFormat/>
    <w:uiPriority w:val="99"/>
    <w:rPr>
      <w:rFonts w:ascii="宋体" w:hAnsi="宋体" w:eastAsia="宋体" w:cs="宋体"/>
      <w:color w:val="000000"/>
      <w:sz w:val="22"/>
      <w:szCs w:val="22"/>
    </w:rPr>
  </w:style>
  <w:style w:type="character" w:customStyle="1" w:styleId="133">
    <w:name w:val="未处理的提及1"/>
    <w:semiHidden/>
    <w:qFormat/>
    <w:uiPriority w:val="99"/>
    <w:rPr>
      <w:color w:val="auto"/>
      <w:shd w:val="clear" w:color="auto" w:fill="auto"/>
    </w:rPr>
  </w:style>
  <w:style w:type="paragraph" w:customStyle="1" w:styleId="134">
    <w:name w:val="SC正文"/>
    <w:basedOn w:val="1"/>
    <w:qFormat/>
    <w:uiPriority w:val="99"/>
    <w:pPr>
      <w:spacing w:afterLines="50" w:line="300" w:lineRule="auto"/>
      <w:ind w:firstLine="200" w:firstLineChars="200"/>
    </w:pPr>
  </w:style>
  <w:style w:type="table" w:customStyle="1" w:styleId="135">
    <w:name w:val="网格型3"/>
    <w:basedOn w:val="4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4"/>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8">
    <w:name w:val="active15"/>
    <w:basedOn w:val="51"/>
    <w:qFormat/>
    <w:uiPriority w:val="0"/>
    <w:rPr>
      <w:color w:val="FFFFFF"/>
      <w:bdr w:val="single" w:color="0F5BB9" w:sz="4" w:space="0"/>
      <w:shd w:val="clear" w:color="auto" w:fill="0F5BB9"/>
    </w:rPr>
  </w:style>
  <w:style w:type="paragraph" w:customStyle="1" w:styleId="1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Body text|1"/>
    <w:basedOn w:val="1"/>
    <w:qFormat/>
    <w:uiPriority w:val="0"/>
    <w:pPr>
      <w:spacing w:after="80" w:line="314" w:lineRule="auto"/>
      <w:ind w:firstLine="400"/>
    </w:pPr>
    <w:rPr>
      <w:rFonts w:ascii="宋体" w:hAnsi="宋体" w:eastAsia="宋体" w:cs="宋体"/>
      <w:sz w:val="22"/>
      <w:szCs w:val="22"/>
      <w:lang w:val="zh-TW" w:eastAsia="zh-TW" w:bidi="zh-TW"/>
    </w:rPr>
  </w:style>
  <w:style w:type="paragraph" w:customStyle="1" w:styleId="141">
    <w:name w:val="Amount"/>
    <w:basedOn w:val="1"/>
    <w:qFormat/>
    <w:uiPriority w:val="0"/>
    <w:pPr>
      <w:widowControl/>
      <w:jc w:val="right"/>
    </w:pPr>
    <w:rPr>
      <w:rFonts w:ascii="Microsoft Sans Serif" w:hAnsi="Microsoft Sans Serif" w:eastAsia="宋体"/>
      <w:kern w:val="0"/>
      <w:sz w:val="16"/>
      <w:lang w:eastAsia="en-US"/>
    </w:rPr>
  </w:style>
  <w:style w:type="paragraph" w:customStyle="1" w:styleId="142">
    <w:name w:val="列出段落1"/>
    <w:basedOn w:val="1"/>
    <w:qFormat/>
    <w:uiPriority w:val="34"/>
    <w:pPr>
      <w:ind w:firstLine="420" w:firstLineChars="200"/>
    </w:pPr>
    <w:rPr>
      <w:rFonts w:ascii="Calibri" w:hAnsi="Calibri" w:eastAsia="宋体" w:cs="黑体"/>
      <w:sz w:val="21"/>
      <w:szCs w:val="22"/>
    </w:rPr>
  </w:style>
  <w:style w:type="character" w:customStyle="1" w:styleId="143">
    <w:name w:val="正文缩进2格 Char"/>
    <w:link w:val="144"/>
    <w:qFormat/>
    <w:uiPriority w:val="0"/>
    <w:rPr>
      <w:rFonts w:ascii="仿宋_GB2312" w:hAnsi="宋体" w:eastAsia="仿宋_GB2312"/>
      <w:sz w:val="31"/>
      <w:szCs w:val="28"/>
    </w:rPr>
  </w:style>
  <w:style w:type="paragraph" w:customStyle="1" w:styleId="144">
    <w:name w:val="正文缩进2格"/>
    <w:basedOn w:val="1"/>
    <w:link w:val="143"/>
    <w:qFormat/>
    <w:uiPriority w:val="0"/>
    <w:pPr>
      <w:spacing w:line="600" w:lineRule="exact"/>
      <w:ind w:firstLine="639" w:firstLineChars="206"/>
    </w:pPr>
    <w:rPr>
      <w:rFonts w:ascii="仿宋_GB2312" w:hAnsi="宋体"/>
      <w:kern w:val="0"/>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FDD206-A3CD-47C6-BE99-A1B94D3CE24D}">
  <ds:schemaRefs/>
</ds:datastoreItem>
</file>

<file path=docProps/app.xml><?xml version="1.0" encoding="utf-8"?>
<Properties xmlns="http://schemas.openxmlformats.org/officeDocument/2006/extended-properties" xmlns:vt="http://schemas.openxmlformats.org/officeDocument/2006/docPropsVTypes">
  <Template>Normal</Template>
  <Company>ql</Company>
  <Pages>36</Pages>
  <Words>4656</Words>
  <Characters>4824</Characters>
  <Lines>148</Lines>
  <Paragraphs>41</Paragraphs>
  <TotalTime>70</TotalTime>
  <ScaleCrop>false</ScaleCrop>
  <LinksUpToDate>false</LinksUpToDate>
  <CharactersWithSpaces>4898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2022-06-27T07:00:00Z</dcterms:created>
  <dc:creator>戴 健秋</dc:creator>
  <cp:lastModifiedBy>黑马</cp:lastModifiedBy>
  <cp:lastPrinted>2024-04-30T02:34:00Z</cp:lastPrinted>
  <dcterms:modified xsi:type="dcterms:W3CDTF">2026-03-04T03:00:47Z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5743A592B4A94C29834EA56F2B6301FB_13</vt:lpwstr>
  </property>
  <property fmtid="{D5CDD505-2E9C-101B-9397-08002B2CF9AE}" pid="4" name="KSOTemplateDocerSaveRecord">
    <vt:lpwstr>eyJoZGlkIjoiZTg1MGE4NjU2NzBjMDExNTg3MWZkZTM5MWJiMTBkMzYiLCJ1c2VySWQiOiI2OTI4MTgyMTMifQ==</vt:lpwstr>
  </property>
</Properties>
</file>